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C9" w:rsidRPr="00CE5A5E" w:rsidRDefault="00CE5A5E">
      <w:pPr>
        <w:pStyle w:val="Titre"/>
        <w:rPr>
          <w:lang w:val="nl-BE"/>
        </w:rPr>
      </w:pPr>
      <w:r>
        <w:rPr>
          <w:rFonts w:eastAsia="Cambria"/>
          <w:sz w:val="44"/>
          <w:szCs w:val="44"/>
          <w:lang w:val="nl-NL" w:eastAsia="fr-BE"/>
        </w:rPr>
        <w:t>Reglement houdende de economische ondersteuningspremie ten bate van de lokale handelaars in het kader van openbare werken van niveau 2</w:t>
      </w:r>
    </w:p>
    <w:p w:rsidR="008C47C9" w:rsidRPr="00CE5A5E" w:rsidRDefault="00CE5A5E">
      <w:pPr>
        <w:pStyle w:val="Titre2"/>
        <w:rPr>
          <w:lang w:val="nl-BE"/>
        </w:rPr>
      </w:pPr>
      <w:r>
        <w:rPr>
          <w:rFonts w:eastAsia="Calibri Light"/>
          <w:u w:val="single"/>
          <w:lang w:val="nl-NL" w:eastAsia="fr-BE"/>
        </w:rPr>
        <w:t>Artikel 1</w:t>
      </w:r>
      <w:r>
        <w:rPr>
          <w:rFonts w:eastAsia="Calibri Light"/>
          <w:lang w:val="nl-NL" w:eastAsia="fr-BE"/>
        </w:rPr>
        <w:t xml:space="preserve"> - Voorwerp</w:t>
      </w:r>
    </w:p>
    <w:p w:rsidR="008C47C9" w:rsidRPr="00CE5A5E" w:rsidRDefault="008C47C9">
      <w:pPr>
        <w:pStyle w:val="Standard"/>
        <w:spacing w:after="0" w:line="240" w:lineRule="auto"/>
        <w:jc w:val="both"/>
        <w:rPr>
          <w:lang w:val="nl-BE" w:eastAsia="fr-BE"/>
        </w:rPr>
      </w:pPr>
    </w:p>
    <w:p w:rsidR="008C47C9" w:rsidRPr="00CE5A5E" w:rsidRDefault="00CE5A5E">
      <w:pPr>
        <w:pStyle w:val="Standard"/>
        <w:spacing w:after="0" w:line="240" w:lineRule="auto"/>
        <w:jc w:val="both"/>
        <w:rPr>
          <w:lang w:val="nl-BE"/>
        </w:rPr>
      </w:pPr>
      <w:r>
        <w:rPr>
          <w:rFonts w:eastAsia="Calibri"/>
          <w:lang w:val="nl-NL"/>
        </w:rPr>
        <w:t>Binnen de grenzen van de beschikbare kredieten op de begroting goedgekeurd door de gemeenteraad beslist het college van burgemeester en schepenen tot de toekenning van een ondersteuningspremie voor de lokale handelaars in het kader van openbare werken van niveau 2 zoals beoogd door het besluit van de Brusselse Hoofdstedelijke Regering betreffende de forfaitaire schadevergoeding voor handelszaken die getroffen worden door een bouwplaats op de openbare weg van 14 februari 2019.</w:t>
      </w:r>
    </w:p>
    <w:p w:rsidR="008C47C9" w:rsidRPr="00CE5A5E" w:rsidRDefault="00CE5A5E">
      <w:pPr>
        <w:jc w:val="both"/>
        <w:rPr>
          <w:lang w:val="nl-BE"/>
        </w:rPr>
      </w:pPr>
      <w:r>
        <w:rPr>
          <w:rFonts w:eastAsia="Calibri"/>
          <w:lang w:val="nl-NL"/>
        </w:rPr>
        <w:t xml:space="preserve">Deze premie kan toegekend worden voor de bestaande bouwplaatsen in 2020 en 2021 en voor de toekomstige bouwplaatsen.  </w:t>
      </w:r>
    </w:p>
    <w:p w:rsidR="008C47C9" w:rsidRPr="00CE5A5E" w:rsidRDefault="00CE5A5E">
      <w:pPr>
        <w:pStyle w:val="Titre2"/>
        <w:rPr>
          <w:lang w:val="nl-BE"/>
        </w:rPr>
      </w:pPr>
      <w:r>
        <w:rPr>
          <w:rFonts w:eastAsia="Calibri Light"/>
          <w:u w:val="single"/>
          <w:lang w:val="nl-NL" w:eastAsia="fr-BE"/>
        </w:rPr>
        <w:t>Artikel 2</w:t>
      </w:r>
      <w:r>
        <w:rPr>
          <w:rFonts w:eastAsia="Calibri Light"/>
          <w:lang w:val="nl-NL" w:eastAsia="fr-BE"/>
        </w:rPr>
        <w:t xml:space="preserve"> - Toekenningsvoorwaarden</w:t>
      </w:r>
    </w:p>
    <w:p w:rsidR="008C47C9" w:rsidRPr="00CE5A5E" w:rsidRDefault="008C47C9">
      <w:pPr>
        <w:jc w:val="both"/>
        <w:rPr>
          <w:lang w:val="nl-BE"/>
        </w:rPr>
      </w:pPr>
    </w:p>
    <w:p w:rsidR="008C47C9" w:rsidRPr="00CE5A5E" w:rsidRDefault="00CE5A5E">
      <w:pPr>
        <w:jc w:val="both"/>
        <w:rPr>
          <w:lang w:val="nl-BE"/>
        </w:rPr>
      </w:pPr>
      <w:r>
        <w:rPr>
          <w:rFonts w:eastAsia="Calibri"/>
          <w:lang w:val="nl-NL"/>
        </w:rPr>
        <w:t>De handelszaak heeft kunnen genieten van de gewestelijke forfaitaire schadevergoeding of voldeed aan de voorwaarden om de gewestelijke premie te krijgen, bepaald door het besluit van de Brusselse Hoofdstedelijke Regering betreffende de forfaitaire schadevergoeding voor handelszaken die getroffen worden door een bouwplaats op de openbare weg.</w:t>
      </w:r>
    </w:p>
    <w:p w:rsidR="008C47C9" w:rsidRPr="00CE5A5E" w:rsidRDefault="00CE5A5E">
      <w:pPr>
        <w:jc w:val="both"/>
        <w:rPr>
          <w:lang w:val="nl-BE"/>
        </w:rPr>
      </w:pPr>
      <w:r>
        <w:rPr>
          <w:rFonts w:eastAsia="Calibri"/>
          <w:lang w:val="nl-NL"/>
        </w:rPr>
        <w:t xml:space="preserve">De handelaar moet het bewijs van betaling van de gewestelijke forfaitaire schadevergoeding leveren, ofwel een bewijs dat hij voldeed aan de onderstaande voorwaarden:  </w:t>
      </w:r>
    </w:p>
    <w:p w:rsidR="008C47C9" w:rsidRPr="00CE5A5E" w:rsidRDefault="00CE5A5E">
      <w:pPr>
        <w:widowControl/>
        <w:numPr>
          <w:ilvl w:val="0"/>
          <w:numId w:val="9"/>
        </w:numPr>
        <w:suppressAutoHyphens w:val="0"/>
        <w:spacing w:before="100" w:after="100" w:line="240" w:lineRule="auto"/>
        <w:textAlignment w:val="auto"/>
        <w:rPr>
          <w:lang w:val="nl-BE"/>
        </w:rPr>
      </w:pPr>
      <w:r>
        <w:rPr>
          <w:rFonts w:eastAsia="Calibri"/>
          <w:lang w:val="nl-NL"/>
        </w:rPr>
        <w:t>De handelszaak moet gelegen zijn op of aan het werfterrein.</w:t>
      </w:r>
    </w:p>
    <w:p w:rsidR="008C47C9" w:rsidRPr="00CE5A5E" w:rsidRDefault="00CE5A5E">
      <w:pPr>
        <w:widowControl/>
        <w:numPr>
          <w:ilvl w:val="0"/>
          <w:numId w:val="9"/>
        </w:numPr>
        <w:suppressAutoHyphens w:val="0"/>
        <w:spacing w:after="0" w:line="240" w:lineRule="auto"/>
        <w:textAlignment w:val="auto"/>
        <w:rPr>
          <w:lang w:val="nl-BE"/>
        </w:rPr>
      </w:pPr>
      <w:r>
        <w:rPr>
          <w:rFonts w:eastAsia="Calibri"/>
          <w:lang w:val="nl-NL"/>
        </w:rPr>
        <w:t>Enkel de begunstigden die een van de activiteiten opgenomen in bijlage 1 als hoofdactiviteit uitoefenen kunnen een forfaitaire schadevergoeding krijgen.</w:t>
      </w:r>
    </w:p>
    <w:p w:rsidR="008C47C9" w:rsidRPr="00CE5A5E" w:rsidRDefault="00CE5A5E">
      <w:pPr>
        <w:widowControl/>
        <w:numPr>
          <w:ilvl w:val="0"/>
          <w:numId w:val="9"/>
        </w:numPr>
        <w:suppressAutoHyphens w:val="0"/>
        <w:spacing w:before="100" w:after="100" w:line="240" w:lineRule="auto"/>
        <w:textAlignment w:val="auto"/>
        <w:rPr>
          <w:lang w:val="nl-BE"/>
        </w:rPr>
      </w:pPr>
      <w:r>
        <w:rPr>
          <w:rFonts w:eastAsia="Calibri"/>
          <w:lang w:val="nl-NL"/>
        </w:rPr>
        <w:t>Het moet gaan om een gecoördineerde werf: een werf waarbij meerdere concessiehouders betrokken zijn en waarvoor de taken van de verschillende concessiehouders gecoördineerd zijn.</w:t>
      </w:r>
    </w:p>
    <w:p w:rsidR="008C47C9" w:rsidRPr="00CE5A5E" w:rsidRDefault="00CE5A5E">
      <w:pPr>
        <w:widowControl/>
        <w:numPr>
          <w:ilvl w:val="0"/>
          <w:numId w:val="9"/>
        </w:numPr>
        <w:suppressAutoHyphens w:val="0"/>
        <w:spacing w:before="100" w:after="100" w:line="240" w:lineRule="auto"/>
        <w:textAlignment w:val="auto"/>
        <w:rPr>
          <w:lang w:val="nl-BE"/>
        </w:rPr>
      </w:pPr>
      <w:r>
        <w:rPr>
          <w:rFonts w:eastAsia="Calibri"/>
          <w:lang w:val="nl-NL"/>
        </w:rPr>
        <w:t>Deze werf moet het autoverkeer of het openbaar vervoer onderbroken hebben</w:t>
      </w:r>
    </w:p>
    <w:p w:rsidR="008C47C9" w:rsidRPr="00CE5A5E" w:rsidRDefault="00CE5A5E">
      <w:pPr>
        <w:widowControl/>
        <w:numPr>
          <w:ilvl w:val="1"/>
          <w:numId w:val="9"/>
        </w:numPr>
        <w:suppressAutoHyphens w:val="0"/>
        <w:spacing w:before="100" w:after="100" w:line="240" w:lineRule="auto"/>
        <w:textAlignment w:val="auto"/>
        <w:rPr>
          <w:lang w:val="nl-BE"/>
        </w:rPr>
      </w:pPr>
      <w:r>
        <w:rPr>
          <w:rFonts w:eastAsia="Calibri"/>
          <w:lang w:val="nl-BE"/>
        </w:rPr>
        <w:t>I</w:t>
      </w:r>
      <w:r>
        <w:rPr>
          <w:rFonts w:eastAsia="Calibri"/>
          <w:lang w:val="nl-NL"/>
        </w:rPr>
        <w:t>n minstens een rijrichting: alle rijstroken van de rijrichting moeten versperd geweest zijn</w:t>
      </w:r>
    </w:p>
    <w:p w:rsidR="008C47C9" w:rsidRPr="00CE5A5E" w:rsidRDefault="00CE5A5E">
      <w:pPr>
        <w:widowControl/>
        <w:numPr>
          <w:ilvl w:val="1"/>
          <w:numId w:val="9"/>
        </w:numPr>
        <w:suppressAutoHyphens w:val="0"/>
        <w:spacing w:before="100" w:after="100" w:line="240" w:lineRule="auto"/>
        <w:textAlignment w:val="auto"/>
        <w:rPr>
          <w:lang w:val="nl-BE"/>
        </w:rPr>
      </w:pPr>
      <w:r>
        <w:rPr>
          <w:rFonts w:eastAsia="Calibri"/>
          <w:lang w:val="nl-BE"/>
        </w:rPr>
        <w:t>G</w:t>
      </w:r>
      <w:r>
        <w:rPr>
          <w:rFonts w:eastAsia="Calibri"/>
          <w:lang w:val="nl-NL"/>
        </w:rPr>
        <w:t>edurende 29 opeenvolgende kalenderdagen (indien het verkeer tijdelijk hersteld werd tijdens de periode van 29 dagen heeft u geen recht op een schadevergoeding).</w:t>
      </w:r>
    </w:p>
    <w:p w:rsidR="008C47C9" w:rsidRPr="00CE5A5E" w:rsidRDefault="00CE5A5E">
      <w:pPr>
        <w:pStyle w:val="Paragraphedeliste"/>
        <w:numPr>
          <w:ilvl w:val="0"/>
          <w:numId w:val="9"/>
        </w:numPr>
        <w:suppressAutoHyphens w:val="0"/>
        <w:spacing w:before="100" w:after="100" w:line="240" w:lineRule="auto"/>
        <w:textAlignment w:val="auto"/>
        <w:rPr>
          <w:lang w:val="nl-BE"/>
        </w:rPr>
      </w:pPr>
      <w:r>
        <w:rPr>
          <w:rFonts w:eastAsia="Calibri"/>
          <w:lang w:val="nl-NL"/>
        </w:rPr>
        <w:t>De zaken mogen niet voor meer dan 50 % met staatsfondsen gefinancierd worden (meer dan 75 % voor de ondernemingen die minder dan 4 jaar ingeschreven zijn bij de Kruispuntbank van Ondernemingen).</w:t>
      </w:r>
    </w:p>
    <w:p w:rsidR="008C47C9" w:rsidRPr="00CE5A5E" w:rsidRDefault="00CE5A5E">
      <w:pPr>
        <w:pStyle w:val="Paragraphedeliste"/>
        <w:numPr>
          <w:ilvl w:val="0"/>
          <w:numId w:val="9"/>
        </w:numPr>
        <w:suppressAutoHyphens w:val="0"/>
        <w:spacing w:before="100" w:after="100" w:line="240" w:lineRule="auto"/>
        <w:textAlignment w:val="auto"/>
        <w:rPr>
          <w:lang w:val="nl-BE"/>
        </w:rPr>
      </w:pPr>
      <w:r>
        <w:rPr>
          <w:rFonts w:eastAsia="Calibri"/>
          <w:lang w:val="nl-NL"/>
        </w:rPr>
        <w:t>De zaken die minstens 10 VTE (voltijdse equivalenten) tewerkstellen of die zich in een voetgangersstraat bevinden, kunnen geen schadevergoeding krijgen.</w:t>
      </w:r>
    </w:p>
    <w:p w:rsidR="008C47C9" w:rsidRDefault="008C47C9">
      <w:pPr>
        <w:pStyle w:val="Standard"/>
        <w:shd w:val="clear" w:color="auto" w:fill="FFFFFF"/>
        <w:spacing w:after="0" w:line="330" w:lineRule="atLeast"/>
        <w:ind w:left="45"/>
        <w:jc w:val="both"/>
        <w:rPr>
          <w:lang w:val="nl-BE"/>
        </w:rPr>
      </w:pPr>
    </w:p>
    <w:p w:rsidR="00CE5A5E" w:rsidRPr="00CE5A5E" w:rsidRDefault="00CE5A5E">
      <w:pPr>
        <w:pStyle w:val="Standard"/>
        <w:shd w:val="clear" w:color="auto" w:fill="FFFFFF"/>
        <w:spacing w:after="0" w:line="330" w:lineRule="atLeast"/>
        <w:ind w:left="45"/>
        <w:jc w:val="both"/>
        <w:rPr>
          <w:lang w:val="nl-BE"/>
        </w:rPr>
      </w:pPr>
    </w:p>
    <w:p w:rsidR="008C47C9" w:rsidRPr="00CE5A5E" w:rsidRDefault="00CE5A5E">
      <w:pPr>
        <w:pStyle w:val="Titre2"/>
        <w:rPr>
          <w:lang w:val="nl-BE"/>
        </w:rPr>
      </w:pPr>
      <w:r>
        <w:rPr>
          <w:rFonts w:eastAsia="Calibri Light"/>
          <w:u w:val="single"/>
          <w:lang w:val="nl-NL" w:eastAsia="fr-BE"/>
        </w:rPr>
        <w:lastRenderedPageBreak/>
        <w:t>Artikel 3</w:t>
      </w:r>
      <w:r>
        <w:rPr>
          <w:rFonts w:eastAsia="Calibri Light"/>
          <w:lang w:val="nl-NL" w:eastAsia="fr-BE"/>
        </w:rPr>
        <w:t xml:space="preserve"> - Bedrag van de premie</w:t>
      </w:r>
    </w:p>
    <w:p w:rsidR="00CE5A5E" w:rsidRDefault="00CE5A5E">
      <w:pPr>
        <w:jc w:val="both"/>
        <w:rPr>
          <w:rFonts w:eastAsia="Calibri"/>
          <w:lang w:val="nl-NL"/>
        </w:rPr>
      </w:pPr>
    </w:p>
    <w:p w:rsidR="008C47C9" w:rsidRPr="00CE5A5E" w:rsidRDefault="00CE5A5E">
      <w:pPr>
        <w:jc w:val="both"/>
        <w:rPr>
          <w:lang w:val="nl-BE"/>
        </w:rPr>
      </w:pPr>
      <w:r>
        <w:rPr>
          <w:rFonts w:eastAsia="Calibri"/>
          <w:lang w:val="nl-NL"/>
        </w:rPr>
        <w:t xml:space="preserve">De ondersteuningspremie beloopt een forfaitair bedrag van € 750 per handelszaak en per jaar. </w:t>
      </w:r>
    </w:p>
    <w:p w:rsidR="008C47C9" w:rsidRPr="00CE5A5E" w:rsidRDefault="008C47C9">
      <w:pPr>
        <w:pStyle w:val="Titre2"/>
        <w:rPr>
          <w:lang w:val="nl-BE"/>
        </w:rPr>
      </w:pPr>
    </w:p>
    <w:p w:rsidR="008C47C9" w:rsidRPr="00CE5A5E" w:rsidRDefault="00CE5A5E">
      <w:pPr>
        <w:pStyle w:val="Titre2"/>
        <w:spacing w:line="360" w:lineRule="auto"/>
        <w:rPr>
          <w:lang w:val="nl-BE"/>
        </w:rPr>
      </w:pPr>
      <w:r>
        <w:rPr>
          <w:rFonts w:eastAsia="Calibri Light"/>
          <w:u w:val="single"/>
          <w:lang w:val="nl-NL" w:eastAsia="fr-BE"/>
        </w:rPr>
        <w:t>Artikel 4</w:t>
      </w:r>
      <w:r>
        <w:rPr>
          <w:rFonts w:eastAsia="Calibri Light"/>
          <w:lang w:val="nl-NL" w:eastAsia="fr-BE"/>
        </w:rPr>
        <w:t xml:space="preserve"> - Toekenningsprocedure van de premie</w:t>
      </w:r>
    </w:p>
    <w:p w:rsidR="008C47C9" w:rsidRPr="00CE5A5E" w:rsidRDefault="00CE5A5E">
      <w:pPr>
        <w:widowControl/>
        <w:suppressAutoHyphens w:val="0"/>
        <w:spacing w:after="0" w:line="240" w:lineRule="auto"/>
        <w:textAlignment w:val="auto"/>
        <w:rPr>
          <w:lang w:val="nl-BE"/>
        </w:rPr>
      </w:pPr>
      <w:r>
        <w:rPr>
          <w:rFonts w:eastAsia="Calibri" w:cs="Calibri"/>
          <w:kern w:val="0"/>
          <w:lang w:val="nl-NL" w:eastAsia="fr-BE"/>
        </w:rPr>
        <w:t>§1. De premies worden toegekend tot uitputting van de beschikbare kredieten, volgens de chronologische volgorde van ontvangst van de volledige aanvragen.</w:t>
      </w:r>
    </w:p>
    <w:p w:rsidR="008C47C9" w:rsidRPr="00CE5A5E" w:rsidRDefault="00CE5A5E">
      <w:pPr>
        <w:widowControl/>
        <w:suppressAutoHyphens w:val="0"/>
        <w:spacing w:before="100" w:after="0" w:line="240" w:lineRule="auto"/>
        <w:textAlignment w:val="auto"/>
        <w:rPr>
          <w:lang w:val="nl-BE"/>
        </w:rPr>
      </w:pPr>
      <w:r>
        <w:rPr>
          <w:rFonts w:eastAsia="Calibri" w:cs="Calibri"/>
          <w:kern w:val="0"/>
          <w:lang w:val="nl-NL" w:eastAsia="fr-BE"/>
        </w:rPr>
        <w:t>§2. Het aanvraagdossier van een premie moet, samen met de vereiste bewijsstukken die hierna opgesomd worden in artikel 6, binnen de volgende termijnen opgestuurd worden:</w:t>
      </w:r>
    </w:p>
    <w:p w:rsidR="008C47C9" w:rsidRPr="00CE5A5E" w:rsidRDefault="008C47C9">
      <w:pPr>
        <w:widowControl/>
        <w:suppressAutoHyphens w:val="0"/>
        <w:spacing w:before="100" w:after="0" w:line="240" w:lineRule="auto"/>
        <w:textAlignment w:val="auto"/>
        <w:rPr>
          <w:color w:val="FFFFFF"/>
          <w:lang w:val="nl-BE"/>
        </w:rPr>
      </w:pPr>
    </w:p>
    <w:p w:rsidR="008C47C9" w:rsidRPr="00CE5A5E" w:rsidRDefault="00CE5A5E">
      <w:pPr>
        <w:pStyle w:val="Paragraphedeliste"/>
        <w:numPr>
          <w:ilvl w:val="0"/>
          <w:numId w:val="10"/>
        </w:numPr>
        <w:spacing w:after="0" w:line="240" w:lineRule="auto"/>
        <w:jc w:val="both"/>
        <w:rPr>
          <w:lang w:val="nl-BE"/>
        </w:rPr>
      </w:pPr>
      <w:r>
        <w:rPr>
          <w:rFonts w:eastAsia="Calibri"/>
          <w:lang w:val="nl-NL"/>
        </w:rPr>
        <w:t>Werven in 2020 en 2021 die bestaan voor de inwerkingtreding van het onderhavige reglement:</w:t>
      </w:r>
    </w:p>
    <w:p w:rsidR="008C47C9" w:rsidRPr="00CE5A5E" w:rsidRDefault="008C47C9">
      <w:pPr>
        <w:pStyle w:val="Paragraphedeliste"/>
        <w:spacing w:after="0" w:line="240" w:lineRule="auto"/>
        <w:jc w:val="both"/>
        <w:rPr>
          <w:lang w:val="nl-BE"/>
        </w:rPr>
      </w:pPr>
    </w:p>
    <w:p w:rsidR="008C47C9" w:rsidRPr="00CE5A5E" w:rsidRDefault="00CE5A5E">
      <w:pPr>
        <w:spacing w:after="0" w:line="240" w:lineRule="auto"/>
        <w:jc w:val="both"/>
        <w:rPr>
          <w:lang w:val="nl-BE"/>
        </w:rPr>
      </w:pPr>
      <w:r>
        <w:rPr>
          <w:rFonts w:eastAsia="Calibri"/>
          <w:lang w:val="nl-NL"/>
        </w:rPr>
        <w:t>De handelaar kan zijn aanvraag indienen tot 1 juli 2021.</w:t>
      </w:r>
    </w:p>
    <w:p w:rsidR="008C47C9" w:rsidRPr="00CE5A5E" w:rsidRDefault="00CE5A5E">
      <w:pPr>
        <w:spacing w:after="0" w:line="240" w:lineRule="auto"/>
        <w:jc w:val="both"/>
        <w:rPr>
          <w:lang w:val="nl-BE"/>
        </w:rPr>
      </w:pPr>
      <w:r>
        <w:rPr>
          <w:rFonts w:eastAsia="Calibri"/>
          <w:lang w:val="nl-NL"/>
        </w:rPr>
        <w:t>In geval van overschrijding van deze termijn kan de premie niet meer toegekend worden.</w:t>
      </w:r>
    </w:p>
    <w:p w:rsidR="008C47C9" w:rsidRPr="00CE5A5E" w:rsidRDefault="008C47C9">
      <w:pPr>
        <w:widowControl/>
        <w:suppressAutoHyphens w:val="0"/>
        <w:spacing w:before="100" w:after="0" w:line="240" w:lineRule="auto"/>
        <w:textAlignment w:val="auto"/>
        <w:rPr>
          <w:rFonts w:eastAsia="Times New Roman" w:cs="Calibri"/>
          <w:kern w:val="0"/>
          <w:lang w:val="nl-BE" w:eastAsia="fr-BE"/>
        </w:rPr>
      </w:pPr>
    </w:p>
    <w:p w:rsidR="008C47C9" w:rsidRPr="00CE5A5E" w:rsidRDefault="00CE5A5E">
      <w:pPr>
        <w:pStyle w:val="Paragraphedeliste"/>
        <w:numPr>
          <w:ilvl w:val="0"/>
          <w:numId w:val="10"/>
        </w:numPr>
        <w:jc w:val="both"/>
        <w:rPr>
          <w:lang w:val="nl-BE"/>
        </w:rPr>
      </w:pPr>
      <w:r>
        <w:rPr>
          <w:rFonts w:eastAsia="Calibri" w:cs="Calibri"/>
          <w:kern w:val="0"/>
          <w:lang w:val="nl-NL"/>
        </w:rPr>
        <w:t xml:space="preserve">Werven die aanvangen na de inwerkingtreding van het onderhavige reglement: </w:t>
      </w:r>
    </w:p>
    <w:p w:rsidR="008C47C9" w:rsidRPr="00CE5A5E" w:rsidRDefault="00CE5A5E">
      <w:pPr>
        <w:spacing w:after="0" w:line="240" w:lineRule="auto"/>
        <w:jc w:val="both"/>
        <w:rPr>
          <w:lang w:val="nl-BE"/>
        </w:rPr>
      </w:pPr>
      <w:r>
        <w:rPr>
          <w:rFonts w:eastAsia="Calibri" w:cs="Calibri"/>
          <w:kern w:val="0"/>
          <w:lang w:val="nl-NL"/>
        </w:rPr>
        <w:t>De aanvragen worden ingediend ten vroegste 60 dagen na het begin van de werf die de afsluiting van de weg in minstens een rijrichting inhoudt en ten laatste 180 dagen na het begin ervan.</w:t>
      </w:r>
    </w:p>
    <w:p w:rsidR="008C47C9" w:rsidRPr="00CE5A5E" w:rsidRDefault="00CE5A5E">
      <w:pPr>
        <w:spacing w:after="0" w:line="240" w:lineRule="auto"/>
        <w:jc w:val="both"/>
        <w:rPr>
          <w:rFonts w:eastAsia="Calibri" w:cs="Calibri"/>
          <w:kern w:val="0"/>
          <w:szCs w:val="24"/>
          <w:lang w:val="nl-BE"/>
        </w:rPr>
      </w:pPr>
      <w:r>
        <w:rPr>
          <w:rFonts w:eastAsia="Calibri" w:cs="Calibri"/>
          <w:kern w:val="0"/>
          <w:lang w:val="nl-NL"/>
        </w:rPr>
        <w:t xml:space="preserve">In geval van overschrijding van deze termijn kan de premie niet meer toegekend worden. </w:t>
      </w:r>
    </w:p>
    <w:p w:rsidR="008C47C9" w:rsidRPr="00CE5A5E" w:rsidRDefault="008C47C9">
      <w:pPr>
        <w:widowControl/>
        <w:suppressAutoHyphens w:val="0"/>
        <w:spacing w:before="100" w:after="0" w:line="240" w:lineRule="auto"/>
        <w:textAlignment w:val="auto"/>
        <w:rPr>
          <w:lang w:val="nl-BE"/>
        </w:rPr>
      </w:pPr>
    </w:p>
    <w:p w:rsidR="008C47C9" w:rsidRPr="00CE5A5E" w:rsidRDefault="00CE5A5E">
      <w:pPr>
        <w:widowControl/>
        <w:suppressAutoHyphens w:val="0"/>
        <w:spacing w:before="100" w:after="119" w:line="240" w:lineRule="auto"/>
        <w:jc w:val="both"/>
        <w:textAlignment w:val="auto"/>
        <w:rPr>
          <w:lang w:val="nl-BE"/>
        </w:rPr>
      </w:pPr>
      <w:r>
        <w:rPr>
          <w:rFonts w:eastAsia="Calibri" w:cs="Calibri"/>
          <w:kern w:val="0"/>
          <w:lang w:val="nl-NL" w:eastAsia="fr-BE"/>
        </w:rPr>
        <w:t xml:space="preserve">De dossiers worden ingediend ofwel per </w:t>
      </w:r>
      <w:r>
        <w:rPr>
          <w:rFonts w:eastAsia="Calibri" w:cs="Calibri"/>
          <w:kern w:val="0"/>
          <w:u w:val="single"/>
          <w:lang w:val="nl-NL" w:eastAsia="fr-BE"/>
        </w:rPr>
        <w:t>aangetekende zending</w:t>
      </w:r>
      <w:r>
        <w:rPr>
          <w:rFonts w:eastAsia="Calibri" w:cs="Calibri"/>
          <w:kern w:val="0"/>
          <w:lang w:val="nl-NL" w:eastAsia="fr-BE"/>
        </w:rPr>
        <w:t xml:space="preserve"> met de post (de datum van afgifte bij de post geldt als bewijs voor de naleving van de termijn), ofwel per e-mail via </w:t>
      </w:r>
      <w:hyperlink r:id="rId5" w:history="1">
        <w:r>
          <w:rPr>
            <w:rFonts w:eastAsia="Calibri" w:cs="Calibri"/>
            <w:color w:val="0563C1"/>
            <w:kern w:val="0"/>
            <w:u w:val="single"/>
            <w:lang w:val="nl-NL" w:eastAsia="fr-BE"/>
          </w:rPr>
          <w:t>economie@ukkel.brussels</w:t>
        </w:r>
      </w:hyperlink>
      <w:r>
        <w:rPr>
          <w:rFonts w:eastAsia="Calibri" w:cs="Calibri"/>
          <w:kern w:val="0"/>
          <w:lang w:val="nl-NL" w:eastAsia="fr-BE"/>
        </w:rPr>
        <w:t xml:space="preserve">. </w:t>
      </w:r>
    </w:p>
    <w:p w:rsidR="008C47C9" w:rsidRPr="00CE5A5E" w:rsidRDefault="00CE5A5E">
      <w:pPr>
        <w:widowControl/>
        <w:shd w:val="clear" w:color="auto" w:fill="FFFFFF"/>
        <w:suppressAutoHyphens w:val="0"/>
        <w:spacing w:before="100" w:after="147" w:line="329" w:lineRule="atLeast"/>
        <w:textAlignment w:val="auto"/>
        <w:rPr>
          <w:lang w:val="nl-BE"/>
        </w:rPr>
      </w:pPr>
      <w:r>
        <w:rPr>
          <w:rFonts w:eastAsia="Calibri" w:cs="Calibri"/>
          <w:kern w:val="0"/>
          <w:lang w:val="nl-NL" w:eastAsia="fr-BE"/>
        </w:rPr>
        <w:t xml:space="preserve">§3. De dienst Economie &amp; Handel ontvangt de aanvragen voor de toekenning van een premie en verricht de administratieve controle van de ingediende dossiers. Er wordt een register van de aanvragen bijgehouden op basis van de ontvangstdatum van de dossiers, voor zover ze volledig zijn. De </w:t>
      </w:r>
      <w:r>
        <w:rPr>
          <w:rFonts w:eastAsia="Calibri" w:cs="Calibri"/>
          <w:kern w:val="0"/>
          <w:u w:val="single"/>
          <w:lang w:val="nl-NL" w:eastAsia="fr-BE"/>
        </w:rPr>
        <w:t>noodzakelijke documenten</w:t>
      </w:r>
      <w:r>
        <w:rPr>
          <w:rFonts w:eastAsia="Calibri" w:cs="Calibri"/>
          <w:kern w:val="0"/>
          <w:lang w:val="nl-NL" w:eastAsia="fr-BE"/>
        </w:rPr>
        <w:t xml:space="preserve"> voor de samenstelling van het aanvraagdossier zijn opgesomd in artikel 6. </w:t>
      </w:r>
    </w:p>
    <w:p w:rsidR="008C47C9" w:rsidRPr="00CE5A5E" w:rsidRDefault="00CE5A5E">
      <w:pPr>
        <w:widowControl/>
        <w:shd w:val="clear" w:color="auto" w:fill="FFFFFF"/>
        <w:suppressAutoHyphens w:val="0"/>
        <w:spacing w:before="100" w:after="147" w:line="329" w:lineRule="atLeast"/>
        <w:textAlignment w:val="auto"/>
        <w:rPr>
          <w:lang w:val="nl-BE"/>
        </w:rPr>
      </w:pPr>
      <w:r>
        <w:rPr>
          <w:rFonts w:eastAsia="Calibri" w:cs="Calibri"/>
          <w:kern w:val="0"/>
          <w:lang w:val="nl-NL" w:eastAsia="fr-BE"/>
        </w:rPr>
        <w:t>In geval van een onvolledig dossier verzoekt de dienst Economie &amp; Handel de aanvrager om de ontbrekende bewijsstukken te leveren binnen een termijn van een maand volgend op de kennisgeving. Na deze termijn wordt het dossier als onvolledig beschouwd en zal het automatisch geweigerd worden.</w:t>
      </w:r>
    </w:p>
    <w:p w:rsidR="008C47C9" w:rsidRPr="00CE5A5E" w:rsidRDefault="00CE5A5E">
      <w:pPr>
        <w:widowControl/>
        <w:shd w:val="clear" w:color="auto" w:fill="FFFFFF"/>
        <w:suppressAutoHyphens w:val="0"/>
        <w:spacing w:before="100" w:after="147" w:line="329" w:lineRule="atLeast"/>
        <w:textAlignment w:val="auto"/>
        <w:rPr>
          <w:lang w:val="nl-BE"/>
        </w:rPr>
      </w:pPr>
      <w:r>
        <w:rPr>
          <w:rFonts w:eastAsia="Calibri" w:cs="Calibri"/>
          <w:kern w:val="0"/>
          <w:lang w:val="nl-NL" w:eastAsia="fr-BE"/>
        </w:rPr>
        <w:t xml:space="preserve">§4. Elk ingediend dossier wordt ter beslissing </w:t>
      </w:r>
      <w:r>
        <w:rPr>
          <w:rFonts w:eastAsia="Calibri" w:cs="Calibri"/>
          <w:kern w:val="0"/>
          <w:u w:val="single"/>
          <w:lang w:val="nl-NL" w:eastAsia="fr-BE"/>
        </w:rPr>
        <w:t>voorgelegd aan het college van burgemeester en schepenen</w:t>
      </w:r>
      <w:r>
        <w:rPr>
          <w:rFonts w:eastAsia="Calibri" w:cs="Calibri"/>
          <w:kern w:val="0"/>
          <w:lang w:val="nl-NL" w:eastAsia="fr-BE"/>
        </w:rPr>
        <w:t xml:space="preserve">, op basis van het advies van de dienst Economie &amp; Handel. </w:t>
      </w:r>
    </w:p>
    <w:p w:rsidR="008C47C9" w:rsidRPr="00CE5A5E" w:rsidRDefault="008C47C9">
      <w:pPr>
        <w:pStyle w:val="Standard"/>
        <w:spacing w:after="0" w:line="240" w:lineRule="auto"/>
        <w:jc w:val="both"/>
        <w:rPr>
          <w:rFonts w:eastAsia="Times New Roman" w:cs="Arial"/>
          <w:lang w:val="nl-BE" w:eastAsia="fr-BE"/>
        </w:rPr>
      </w:pPr>
    </w:p>
    <w:p w:rsidR="008C47C9" w:rsidRPr="00CE5A5E" w:rsidRDefault="00CE5A5E">
      <w:pPr>
        <w:pStyle w:val="Titre2"/>
        <w:rPr>
          <w:lang w:val="nl-BE"/>
        </w:rPr>
      </w:pPr>
      <w:r>
        <w:rPr>
          <w:rFonts w:eastAsia="Calibri Light"/>
          <w:u w:val="single"/>
          <w:lang w:val="nl-NL" w:eastAsia="fr-BE"/>
        </w:rPr>
        <w:t>Artikel 6</w:t>
      </w:r>
      <w:r>
        <w:rPr>
          <w:rFonts w:eastAsia="Calibri Light"/>
          <w:lang w:val="nl-NL" w:eastAsia="fr-BE"/>
        </w:rPr>
        <w:t xml:space="preserve"> - Documenten bij het dossier te voegen</w:t>
      </w:r>
    </w:p>
    <w:p w:rsidR="008C47C9" w:rsidRPr="00CE5A5E" w:rsidRDefault="00CE5A5E">
      <w:pPr>
        <w:pStyle w:val="Standard"/>
        <w:shd w:val="clear" w:color="auto" w:fill="FFFFFF"/>
        <w:spacing w:after="150" w:line="330" w:lineRule="atLeast"/>
        <w:jc w:val="both"/>
        <w:rPr>
          <w:lang w:val="nl-BE"/>
        </w:rPr>
      </w:pPr>
      <w:r>
        <w:rPr>
          <w:rFonts w:eastAsia="Calibri" w:cs="Arial"/>
          <w:lang w:val="nl-NL" w:eastAsia="fr-BE"/>
        </w:rPr>
        <w:t>De noodzakelijke documenten voor de samenstelling van het aanvraagdossier zijn:</w:t>
      </w:r>
    </w:p>
    <w:p w:rsidR="008C47C9" w:rsidRPr="00CE5A5E" w:rsidRDefault="00CE5A5E">
      <w:pPr>
        <w:pStyle w:val="Titre3"/>
        <w:numPr>
          <w:ilvl w:val="0"/>
          <w:numId w:val="11"/>
        </w:numPr>
        <w:shd w:val="clear" w:color="auto" w:fill="FFFFFF"/>
        <w:spacing w:before="0"/>
        <w:rPr>
          <w:lang w:val="nl-BE"/>
        </w:rPr>
      </w:pPr>
      <w:r>
        <w:rPr>
          <w:rFonts w:ascii="Calibri" w:eastAsia="Calibri" w:hAnsi="Calibri" w:cs="F"/>
          <w:color w:val="000000"/>
          <w:sz w:val="22"/>
          <w:szCs w:val="22"/>
          <w:lang w:val="nl-NL"/>
        </w:rPr>
        <w:t xml:space="preserve">Het formulier ad hoc, dat beschikbaar is op de website van de gemeente: </w:t>
      </w:r>
      <w:hyperlink r:id="rId6" w:history="1">
        <w:r>
          <w:rPr>
            <w:rFonts w:ascii="Calibri" w:eastAsia="Calibri" w:hAnsi="Calibri" w:cs="F"/>
            <w:color w:val="0563C1"/>
            <w:sz w:val="22"/>
            <w:szCs w:val="22"/>
            <w:u w:val="single"/>
            <w:lang w:val="nl-NL"/>
          </w:rPr>
          <w:t>www.ukkel.be</w:t>
        </w:r>
      </w:hyperlink>
      <w:r>
        <w:rPr>
          <w:rFonts w:ascii="Calibri" w:eastAsia="Calibri" w:hAnsi="Calibri" w:cs="F"/>
          <w:color w:val="000000"/>
          <w:sz w:val="22"/>
          <w:szCs w:val="22"/>
          <w:lang w:val="nl-NL"/>
        </w:rPr>
        <w:t xml:space="preserve"> </w:t>
      </w:r>
    </w:p>
    <w:p w:rsidR="008C47C9" w:rsidRPr="00CE5A5E" w:rsidRDefault="00CE5A5E">
      <w:pPr>
        <w:pStyle w:val="Paragraphedeliste"/>
        <w:numPr>
          <w:ilvl w:val="0"/>
          <w:numId w:val="11"/>
        </w:numPr>
        <w:shd w:val="clear" w:color="auto" w:fill="FFFFFF"/>
        <w:jc w:val="both"/>
        <w:rPr>
          <w:lang w:val="nl-BE"/>
        </w:rPr>
      </w:pPr>
      <w:r>
        <w:rPr>
          <w:rFonts w:eastAsia="Calibri"/>
          <w:lang w:val="nl-NL"/>
        </w:rPr>
        <w:t xml:space="preserve">De handelaar moet het bewijs leveren van de toekenning van de gewestelijke premie + het betalingsbewijs van de premie, ofwel een bewijs dat hij voldeed aan de voorwaarden uit artikel 2. </w:t>
      </w:r>
    </w:p>
    <w:p w:rsidR="008C47C9" w:rsidRPr="00CE5A5E" w:rsidRDefault="00CE5A5E">
      <w:pPr>
        <w:pStyle w:val="Titre3"/>
        <w:shd w:val="clear" w:color="auto" w:fill="FFFFFF"/>
        <w:spacing w:before="0"/>
        <w:rPr>
          <w:rFonts w:ascii="Calibri" w:eastAsia="SimSun" w:hAnsi="Calibri" w:cs="F"/>
          <w:color w:val="000000"/>
          <w:sz w:val="22"/>
          <w:szCs w:val="22"/>
          <w:lang w:val="nl-BE"/>
        </w:rPr>
      </w:pPr>
      <w:r>
        <w:rPr>
          <w:rFonts w:ascii="Calibri" w:eastAsia="Calibri" w:hAnsi="Calibri" w:cs="F"/>
          <w:color w:val="000000"/>
          <w:sz w:val="22"/>
          <w:szCs w:val="22"/>
          <w:lang w:val="nl-NL"/>
        </w:rPr>
        <w:lastRenderedPageBreak/>
        <w:t>De persoonsgegevens worden verwerkt en bewaard overeenkomstig de AVG (algemene verordening gegevensbescherming).</w:t>
      </w:r>
    </w:p>
    <w:p w:rsidR="008C47C9" w:rsidRPr="00CE5A5E" w:rsidRDefault="008C47C9">
      <w:pPr>
        <w:pStyle w:val="Paragraphedeliste"/>
        <w:shd w:val="clear" w:color="auto" w:fill="FFFFFF"/>
        <w:spacing w:after="0" w:line="330" w:lineRule="atLeast"/>
        <w:jc w:val="both"/>
        <w:rPr>
          <w:rFonts w:eastAsia="Times New Roman" w:cs="Arial"/>
          <w:lang w:val="nl-BE" w:eastAsia="fr-BE"/>
        </w:rPr>
      </w:pPr>
    </w:p>
    <w:p w:rsidR="008C47C9" w:rsidRPr="00CE5A5E" w:rsidRDefault="00CE5A5E">
      <w:pPr>
        <w:pStyle w:val="Titre2"/>
        <w:rPr>
          <w:lang w:val="nl-BE"/>
        </w:rPr>
      </w:pPr>
      <w:r>
        <w:rPr>
          <w:rFonts w:eastAsia="Calibri Light"/>
          <w:u w:val="single"/>
          <w:lang w:val="nl-NL" w:eastAsia="fr-BE"/>
        </w:rPr>
        <w:t>Artikel 7</w:t>
      </w:r>
      <w:r>
        <w:rPr>
          <w:rFonts w:eastAsia="Calibri Light"/>
          <w:lang w:val="nl-NL" w:eastAsia="fr-BE"/>
        </w:rPr>
        <w:t xml:space="preserve"> - Fraude</w:t>
      </w:r>
    </w:p>
    <w:p w:rsidR="008C47C9" w:rsidRPr="00CE5A5E" w:rsidRDefault="00CE5A5E">
      <w:pPr>
        <w:pStyle w:val="Standard"/>
        <w:shd w:val="clear" w:color="auto" w:fill="FFFFFF"/>
        <w:spacing w:after="0" w:line="330" w:lineRule="atLeast"/>
        <w:jc w:val="both"/>
        <w:rPr>
          <w:lang w:val="nl-BE"/>
        </w:rPr>
      </w:pPr>
      <w:r>
        <w:rPr>
          <w:rFonts w:eastAsia="Calibri" w:cs="Arial"/>
          <w:lang w:val="nl-NL" w:eastAsia="fr-BE"/>
        </w:rPr>
        <w:t>Elke premie toegekend op basis van een frauduleuze of onjuiste aanvraag wordt teruggevorderd, los van eventuele rechtsvervolgingen.</w:t>
      </w:r>
    </w:p>
    <w:p w:rsidR="008C47C9" w:rsidRPr="00CE5A5E" w:rsidRDefault="008C47C9">
      <w:pPr>
        <w:pStyle w:val="Standard"/>
        <w:shd w:val="clear" w:color="auto" w:fill="FFFFFF"/>
        <w:spacing w:after="150" w:line="330" w:lineRule="atLeast"/>
        <w:jc w:val="both"/>
        <w:rPr>
          <w:rFonts w:eastAsia="Times New Roman" w:cs="Arial"/>
          <w:lang w:val="nl-BE" w:eastAsia="fr-BE"/>
        </w:rPr>
      </w:pPr>
    </w:p>
    <w:p w:rsidR="008C47C9" w:rsidRPr="00CE5A5E" w:rsidRDefault="00CE5A5E">
      <w:pPr>
        <w:pStyle w:val="Titre2"/>
        <w:rPr>
          <w:lang w:val="nl-BE"/>
        </w:rPr>
      </w:pPr>
      <w:r>
        <w:rPr>
          <w:rFonts w:eastAsia="Calibri Light"/>
          <w:u w:val="single"/>
          <w:lang w:val="nl-NL" w:eastAsia="fr-BE"/>
        </w:rPr>
        <w:t>Artikel 8</w:t>
      </w:r>
      <w:r>
        <w:rPr>
          <w:rFonts w:eastAsia="Calibri Light"/>
          <w:lang w:val="nl-NL" w:eastAsia="fr-BE"/>
        </w:rPr>
        <w:t xml:space="preserve"> - Inwerkingtreding</w:t>
      </w:r>
    </w:p>
    <w:p w:rsidR="008C47C9" w:rsidRPr="00CE5A5E" w:rsidRDefault="00CE5A5E">
      <w:pPr>
        <w:pStyle w:val="Standard"/>
        <w:shd w:val="clear" w:color="auto" w:fill="FFFFFF"/>
        <w:spacing w:after="150" w:line="330" w:lineRule="atLeast"/>
        <w:jc w:val="both"/>
        <w:rPr>
          <w:lang w:val="nl-BE"/>
        </w:rPr>
      </w:pPr>
      <w:r>
        <w:rPr>
          <w:rFonts w:eastAsia="Calibri" w:cs="Arial"/>
          <w:lang w:val="nl-NL" w:eastAsia="fr-BE"/>
        </w:rPr>
        <w:t>Het onderhavige re</w:t>
      </w:r>
      <w:r w:rsidR="002100A9">
        <w:rPr>
          <w:rFonts w:eastAsia="Calibri" w:cs="Arial"/>
          <w:lang w:val="nl-NL" w:eastAsia="fr-BE"/>
        </w:rPr>
        <w:t>glement treedt in werking op 1 maart</w:t>
      </w:r>
      <w:bookmarkStart w:id="0" w:name="_GoBack"/>
      <w:bookmarkEnd w:id="0"/>
      <w:r>
        <w:rPr>
          <w:rFonts w:eastAsia="Calibri" w:cs="Arial"/>
          <w:lang w:val="nl-NL" w:eastAsia="fr-BE"/>
        </w:rPr>
        <w:t xml:space="preserve"> 2021. Het trekt het reglement inzake de premie ter aanmoediging van de economische activiteit van handelszaken tijdens bepaalde openbare werken van 25 januari 2018 in en vervangt het.</w:t>
      </w:r>
    </w:p>
    <w:p w:rsidR="008C47C9" w:rsidRDefault="00CE5A5E">
      <w:pPr>
        <w:pStyle w:val="Standard"/>
        <w:jc w:val="center"/>
      </w:pPr>
      <w:r>
        <w:t>--------------------------------------------------------</w:t>
      </w:r>
    </w:p>
    <w:p w:rsidR="008C47C9" w:rsidRDefault="008C47C9"/>
    <w:p w:rsidR="008C47C9" w:rsidRDefault="008C47C9"/>
    <w:p w:rsidR="008C47C9" w:rsidRDefault="008C47C9"/>
    <w:p w:rsidR="008C47C9" w:rsidRDefault="008C47C9"/>
    <w:p w:rsidR="008C47C9" w:rsidRDefault="008C47C9"/>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8C47C9">
      <w:pPr>
        <w:tabs>
          <w:tab w:val="left" w:pos="1064"/>
        </w:tabs>
      </w:pPr>
    </w:p>
    <w:p w:rsidR="008C47C9" w:rsidRDefault="00CE5A5E">
      <w:pPr>
        <w:tabs>
          <w:tab w:val="left" w:pos="1064"/>
        </w:tabs>
      </w:pPr>
      <w:r>
        <w:t xml:space="preserve"> </w:t>
      </w:r>
    </w:p>
    <w:tbl>
      <w:tblPr>
        <w:tblW w:w="9056" w:type="dxa"/>
        <w:tblCellMar>
          <w:left w:w="10" w:type="dxa"/>
          <w:right w:w="10" w:type="dxa"/>
        </w:tblCellMar>
        <w:tblLook w:val="0000" w:firstRow="0" w:lastRow="0" w:firstColumn="0" w:lastColumn="0" w:noHBand="0" w:noVBand="0"/>
      </w:tblPr>
      <w:tblGrid>
        <w:gridCol w:w="1036"/>
        <w:gridCol w:w="3820"/>
        <w:gridCol w:w="913"/>
        <w:gridCol w:w="3287"/>
      </w:tblGrid>
      <w:tr w:rsidR="00CE5A5E" w:rsidRPr="002100A9" w:rsidTr="006F0669">
        <w:tc>
          <w:tcPr>
            <w:tcW w:w="4856" w:type="dxa"/>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jc w:val="center"/>
              <w:textAlignment w:val="auto"/>
            </w:pPr>
            <w:r>
              <w:rPr>
                <w:rFonts w:eastAsia="Times New Roman" w:cs="Calibri"/>
                <w:kern w:val="0"/>
                <w:lang w:eastAsia="fr-BE"/>
              </w:rPr>
              <w:t>Annexe 1</w:t>
            </w:r>
            <w:r>
              <w:rPr>
                <w:rFonts w:eastAsia="Times New Roman" w:cs="Calibri"/>
                <w:kern w:val="0"/>
                <w:vertAlign w:val="superscript"/>
                <w:lang w:eastAsia="fr-BE"/>
              </w:rPr>
              <w:t>re</w:t>
            </w:r>
            <w:r>
              <w:rPr>
                <w:rFonts w:eastAsia="Times New Roman" w:cs="Calibri"/>
                <w:kern w:val="0"/>
                <w:lang w:eastAsia="fr-BE"/>
              </w:rPr>
              <w:t>. - Secteurs admis dans le cadre de l'indemnisation forfaitaire aux commerces situés à front de l'emprise d'un chantier de niveau 2</w:t>
            </w:r>
          </w:p>
        </w:tc>
        <w:tc>
          <w:tcPr>
            <w:tcW w:w="4200" w:type="dxa"/>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jc w:val="center"/>
              <w:textAlignment w:val="auto"/>
              <w:rPr>
                <w:rFonts w:eastAsia="Times New Roman" w:cs="Calibri"/>
                <w:kern w:val="0"/>
                <w:lang w:val="nl-BE" w:eastAsia="fr-BE"/>
              </w:rPr>
            </w:pPr>
            <w:r>
              <w:rPr>
                <w:rFonts w:eastAsia="Times New Roman" w:cs="Calibri"/>
                <w:kern w:val="0"/>
                <w:lang w:val="nl-BE" w:eastAsia="fr-BE"/>
              </w:rPr>
              <w:t>Bijlage 1. - Sectoren die toegestaan zijn in het kader van de forfaitaire schadevergoeding van handelszaken die gelegen aan het terrein van een werf van niveau 2</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Code NACE BEL 2008</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Description</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NACE-BEL 2008 Code</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Beschrijving</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45.113</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Commerce de détail d'automobiles et d'autres véhicules automobiles légers ( ≤ 3,5 tonnes )</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45.113</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Detailhandel in auto's en lichte bestelwagens (≤ 3,5 ton)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45.193</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Commerce de détail d'autres véhicules automobiles ( &gt; 3,5 tonnes )</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45.193</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Detailhandel in andere motorvoertuigen (&gt; 3,5 ton)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45.194</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Commerce de remorques, de semi-remorques et de caravanes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45.194</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Handel in aanhangwagens, opleggers en caravans</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Entretien et réparation de véhicules automobiles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Onderhoud en reparatie van motorvoertuigen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45.32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Commerce de détail d'équipements de véhicules automobiles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45.32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Detailhandel in onderdelen en accessoires van motorvoertuigen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45.402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Entretien, réparation et commerce de détail de motocycles, y compris les pièces et accessoires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45.402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Detailhandel in en onderhoud en reparatie van motorfietsen en delen en toebehoren van motorfietsen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47</w:t>
            </w:r>
            <w:r>
              <w:rPr>
                <w:rFonts w:eastAsia="Times New Roman" w:cs="Calibri"/>
                <w:kern w:val="0"/>
                <w:lang w:eastAsia="fr-BE"/>
              </w:rPr>
              <w:br/>
              <w:t>A l'exception de 47.8 et 47.9</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Commerce de détail, à l'exception des véhicules automobiles et des Motocycles. A l'exception de Commerce de détail sur éventaires et marchés et Commerce de détail hors magasin, éventaires ou marchés.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47</w:t>
            </w:r>
            <w:r>
              <w:rPr>
                <w:rFonts w:eastAsia="Times New Roman" w:cs="Calibri"/>
                <w:kern w:val="0"/>
                <w:lang w:eastAsia="fr-BE"/>
              </w:rPr>
              <w:br/>
              <w:t>Behalve 47.8 en 47.9</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Detailhandel, met uitzondering van de handel in auto's en motorfietsen. Behalve Markt- en straathandel en Detailhandel, niet in winkels en exclusief markt- en straathandel.</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55</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Hébergement</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55</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Verschaffen van accommodatie</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56.1</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Restaurants et services de restauration mobile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56.1</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Restaurants en mobiele eetgelegenheden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56.290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Autres services de restauration</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56.290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Overige eetgelegenheden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56.3</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Débits de boissons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56.3</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Drinkgelegenheden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59.140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Projection de films cinématographiques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59.140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Vertoning van films</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68.311</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Intermédiation en achat, vente et location de biens immobiliers pour compte de tiers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68.311</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Bemiddeling bij de aankoop, verkoop en verhuur van onroerend goed voor een vast bedrag of op contractbasis</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74.201</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Production photographique, sauf activités des photographes de presse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74.201</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Activiteiten van fotografen, met uitzondering van persfotografen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74.209</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Autres activités photographiques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74.209</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Overige fotografische activiteiten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77.110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véhicules et autres véhicules automobiles légers (&lt;3,5 tonnes)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77.110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personenauto's en lichte bestelwagens (&lt; 3,5 ton)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77.210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d'articles de loisirs et de sport</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77.210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sport- en recreatieartikelen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lastRenderedPageBreak/>
              <w:t>77.220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de vidéocassettes et de disques vidéo</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77.220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van videobanden, dvd's en cd's</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77.291</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machines-outils, de matériel et d'outils à main pour le bricolage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77.291</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machines, apparatuur en handgereedschap voor doe-het-zelvers</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téléviseurs et d'autres appareils audiovisuels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televisietoestellen en andere audio- en videoapparatuur</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77.293</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vaisselle, couverts, verrerie, articles pour la cuisine, appareils électriques et électroménagers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77.293</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vaat- en glaswerk, keuken- en tafelgerei, elektrische huishoudapparaten en andere huishoudelijke benodigdheden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77.294</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textiles, d'habillement, de bijoux et de chaussures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77.294</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textiel, kleding, sieraden en schoeisel</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77.295</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matériel médical et paramédical</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77.295</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medisch en paramedisch materieel</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77.296</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de fleurs et de plantes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77.296</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bloemen en planten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77.299</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d'autres biens personnels et domestiques n.c.a.</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77.299</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andere consumentenartikelen, n.e.g.</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77.3</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Location et location-bail d'autres machines, équipements et biens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77.3</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Verhuur en lease van andere machines en werktuigen en andere materiële goederen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79.110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Agence de voyage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79.110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Reisbureau</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82.190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Photocopie, préparation de documents et autres activités spécialisées de soutien de bureau</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82.190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Fotokopiëren, documentvoorbereiding en andere gespecialiseerde ondersteunende activiteiten ten behoeve van kantoren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95.110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d'ordinateurs et d'équipements périphériques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95.110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computers en rand apparatuur</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95.120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d'équipements de communication</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95.120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communicatieapparatuur</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95.210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de produits électroniques grand public</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95.210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consumentenelektronica</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95.220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d'appareils électroménagers et d'équipements pour la maison et le jardin</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95.220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huishoudapparaten en van werktuigen voor gebruik in huis en tuin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95.230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de chaussures et d'articles en cuir</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95.230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schoeisel en lederwaren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95.240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de meubles et d'équipements du foyer</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95.240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meubelen en stoffering</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95.250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d'articles d'horlogerie et de bijouterie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95.250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uurwerken en sieraden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95.290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Réparation d'autres biens personnels et domestiques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95.290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Reparatie van andere consumentenartikelen</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96.012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Activités des blanchisseries et des salons-lavoirs pour particuliers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96.012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Activiteiten van wasserettes en wassalons ten behoeve van particulieren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96.021</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Coiffure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96.021</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Haarverzorging</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96.022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Soins de beauté</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96.022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Schoonheidsverzorging</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lastRenderedPageBreak/>
              <w:t>96.031</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Soins funéraires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96.031</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Uitvaartverzorging</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96.040</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Entretien corporel</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96.040</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Sauna's, solaria, baden enz.</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96.092</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Services de tatouage et de piercing</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96.092</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Plaatsen van tatoeages en piercings</w:t>
            </w:r>
          </w:p>
        </w:tc>
      </w:tr>
      <w:tr w:rsidR="00CE5A5E" w:rsidRPr="002100A9"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96.093</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Services de soins pour animaux de compagnie, sauf soins vétérinaires</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96.093</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Diensten in verband met de verzorging van huisdieren, m.u.v. veterinaire diensten</w:t>
            </w:r>
          </w:p>
        </w:tc>
      </w:tr>
      <w:tr w:rsidR="00CE5A5E" w:rsidTr="006F0669">
        <w:tc>
          <w:tcPr>
            <w:tcW w:w="10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96.095</w:t>
            </w:r>
          </w:p>
        </w:tc>
        <w:tc>
          <w:tcPr>
            <w:tcW w:w="38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Hébergement d'animaux de compagnie</w:t>
            </w:r>
          </w:p>
        </w:tc>
        <w:tc>
          <w:tcPr>
            <w:tcW w:w="9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Default="00CE5A5E" w:rsidP="006F0669">
            <w:pPr>
              <w:widowControl/>
              <w:suppressAutoHyphens w:val="0"/>
              <w:spacing w:after="0" w:line="240" w:lineRule="auto"/>
              <w:textAlignment w:val="auto"/>
              <w:rPr>
                <w:rFonts w:eastAsia="Times New Roman" w:cs="Calibri"/>
                <w:kern w:val="0"/>
                <w:lang w:eastAsia="fr-BE"/>
              </w:rPr>
            </w:pPr>
            <w:r>
              <w:rPr>
                <w:rFonts w:eastAsia="Times New Roman" w:cs="Calibri"/>
                <w:kern w:val="0"/>
                <w:lang w:eastAsia="fr-BE"/>
              </w:rPr>
              <w:t>96.095</w:t>
            </w:r>
          </w:p>
        </w:tc>
        <w:tc>
          <w:tcPr>
            <w:tcW w:w="328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E5A5E" w:rsidRPr="00CE5A5E" w:rsidRDefault="00CE5A5E" w:rsidP="006F0669">
            <w:pPr>
              <w:widowControl/>
              <w:suppressAutoHyphens w:val="0"/>
              <w:spacing w:after="0" w:line="240" w:lineRule="auto"/>
              <w:textAlignment w:val="auto"/>
              <w:rPr>
                <w:rFonts w:eastAsia="Times New Roman" w:cs="Calibri"/>
                <w:kern w:val="0"/>
                <w:lang w:val="nl-BE" w:eastAsia="fr-BE"/>
              </w:rPr>
            </w:pPr>
            <w:r w:rsidRPr="00CE5A5E">
              <w:rPr>
                <w:rFonts w:eastAsia="Times New Roman" w:cs="Calibri"/>
                <w:kern w:val="0"/>
                <w:lang w:val="nl-BE" w:eastAsia="fr-BE"/>
              </w:rPr>
              <w:t>Pensions voor huisdieren</w:t>
            </w:r>
          </w:p>
        </w:tc>
      </w:tr>
    </w:tbl>
    <w:p w:rsidR="00CE5A5E" w:rsidRDefault="00CE5A5E">
      <w:pPr>
        <w:tabs>
          <w:tab w:val="left" w:pos="1064"/>
        </w:tabs>
      </w:pPr>
    </w:p>
    <w:sectPr w:rsidR="00CE5A5E">
      <w:pgSz w:w="11906" w:h="16838"/>
      <w:pgMar w:top="851"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0ED4"/>
    <w:multiLevelType w:val="multilevel"/>
    <w:tmpl w:val="0770C490"/>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8716067"/>
    <w:multiLevelType w:val="multilevel"/>
    <w:tmpl w:val="0EFA06EE"/>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1B0F3A7E"/>
    <w:multiLevelType w:val="multilevel"/>
    <w:tmpl w:val="8A8A4630"/>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1CD7798"/>
    <w:multiLevelType w:val="multilevel"/>
    <w:tmpl w:val="95DCC444"/>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2496462B"/>
    <w:multiLevelType w:val="multilevel"/>
    <w:tmpl w:val="4858DCDA"/>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68869DF"/>
    <w:multiLevelType w:val="multilevel"/>
    <w:tmpl w:val="DBD078E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541E98"/>
    <w:multiLevelType w:val="multilevel"/>
    <w:tmpl w:val="E0DABB7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428167F"/>
    <w:multiLevelType w:val="multilevel"/>
    <w:tmpl w:val="D32E356E"/>
    <w:lvl w:ilvl="0">
      <w:start w:val="1"/>
      <w:numFmt w:val="decimal"/>
      <w:lvlText w:val="%1)"/>
      <w:lvlJc w:val="left"/>
      <w:pPr>
        <w:ind w:left="720" w:hanging="360"/>
      </w:pPr>
      <w:rPr>
        <w:rFonts w:asciiTheme="minorHAnsi" w:hAnsiTheme="minorHAnsi" w:cstheme="minorHAnsi"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ED2DE7"/>
    <w:multiLevelType w:val="multilevel"/>
    <w:tmpl w:val="41A0EA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D024467"/>
    <w:multiLevelType w:val="multilevel"/>
    <w:tmpl w:val="C20A863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7FE5423C"/>
    <w:multiLevelType w:val="multilevel"/>
    <w:tmpl w:val="5D8E909C"/>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4"/>
  </w:num>
  <w:num w:numId="2">
    <w:abstractNumId w:val="2"/>
  </w:num>
  <w:num w:numId="3">
    <w:abstractNumId w:val="0"/>
  </w:num>
  <w:num w:numId="4">
    <w:abstractNumId w:val="3"/>
  </w:num>
  <w:num w:numId="5">
    <w:abstractNumId w:val="10"/>
  </w:num>
  <w:num w:numId="6">
    <w:abstractNumId w:val="5"/>
  </w:num>
  <w:num w:numId="7">
    <w:abstractNumId w:val="1"/>
  </w:num>
  <w:num w:numId="8">
    <w:abstractNumId w:val="6"/>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C9"/>
    <w:rsid w:val="002100A9"/>
    <w:rsid w:val="002E5453"/>
    <w:rsid w:val="008C47C9"/>
    <w:rsid w:val="00A51752"/>
    <w:rsid w:val="00CE5A5E"/>
    <w:rsid w:val="00E420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D6E5"/>
  <w15:docId w15:val="{9AC658BE-0FAD-492C-91F3-066DBD69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fr-B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Textbody"/>
    <w:pPr>
      <w:keepNext/>
      <w:keepLines/>
      <w:spacing w:before="480" w:after="0"/>
      <w:outlineLvl w:val="0"/>
    </w:pPr>
    <w:rPr>
      <w:rFonts w:ascii="Cambria" w:hAnsi="Cambria"/>
      <w:b/>
      <w:bCs/>
      <w:color w:val="365F91"/>
      <w:sz w:val="28"/>
      <w:szCs w:val="28"/>
    </w:rPr>
  </w:style>
  <w:style w:type="paragraph" w:styleId="Titre2">
    <w:name w:val="heading 2"/>
    <w:basedOn w:val="Normal"/>
    <w:next w:val="Normal"/>
    <w:pPr>
      <w:keepNext/>
      <w:keepLines/>
      <w:spacing w:before="40" w:after="0"/>
      <w:outlineLvl w:val="1"/>
    </w:pPr>
    <w:rPr>
      <w:rFonts w:ascii="Calibri Light" w:eastAsia="Times New Roman" w:hAnsi="Calibri Light" w:cs="Times New Roman"/>
      <w:color w:val="2E74B5"/>
      <w:sz w:val="26"/>
      <w:szCs w:val="26"/>
    </w:rPr>
  </w:style>
  <w:style w:type="paragraph" w:styleId="Titre3">
    <w:name w:val="heading 3"/>
    <w:basedOn w:val="Normal"/>
    <w:next w:val="Normal"/>
    <w:pPr>
      <w:keepNext/>
      <w:keepLines/>
      <w:spacing w:before="40" w:after="0"/>
      <w:outlineLvl w:val="2"/>
    </w:pPr>
    <w:rPr>
      <w:rFonts w:ascii="Calibri Light" w:eastAsia="Times New Roman" w:hAnsi="Calibri Light" w:cs="Times New Roman"/>
      <w:color w:val="1F4D7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pPr>
      <w:pBdr>
        <w:bottom w:val="single" w:sz="8" w:space="4" w:color="4F81BD"/>
      </w:pBdr>
      <w:spacing w:after="300" w:line="240" w:lineRule="auto"/>
    </w:pPr>
    <w:rPr>
      <w:rFonts w:ascii="Cambria" w:hAnsi="Cambria"/>
      <w:b/>
      <w:bCs/>
      <w:color w:val="17365D"/>
      <w:spacing w:val="5"/>
      <w:sz w:val="52"/>
      <w:szCs w:val="52"/>
    </w:rPr>
  </w:style>
  <w:style w:type="paragraph" w:styleId="Sous-titre">
    <w:name w:val="Subtitle"/>
    <w:basedOn w:val="Heading"/>
    <w:next w:val="Textbody"/>
    <w:pPr>
      <w:jc w:val="center"/>
    </w:pPr>
    <w:rPr>
      <w:i/>
      <w:iCs/>
    </w:rPr>
  </w:style>
  <w:style w:type="paragraph" w:styleId="Paragraphedeliste">
    <w:name w:val="List Paragraph"/>
    <w:basedOn w:val="Standard"/>
    <w:pPr>
      <w:ind w:left="720"/>
    </w:pPr>
  </w:style>
  <w:style w:type="paragraph" w:styleId="NormalWeb">
    <w:name w:val="Normal (Web)"/>
    <w:basedOn w:val="Standard"/>
    <w:pPr>
      <w:spacing w:after="150" w:line="330" w:lineRule="atLeast"/>
    </w:pPr>
    <w:rPr>
      <w:rFonts w:ascii="Arial" w:eastAsia="Times New Roman" w:hAnsi="Arial" w:cs="Arial"/>
      <w:color w:val="717171"/>
      <w:sz w:val="24"/>
      <w:szCs w:val="24"/>
      <w:lang w:eastAsia="fr-BE"/>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styleId="Textedebulles">
    <w:name w:val="Balloon Text"/>
    <w:basedOn w:val="Standard"/>
    <w:pPr>
      <w:spacing w:after="0" w:line="240" w:lineRule="auto"/>
    </w:pPr>
    <w:rPr>
      <w:rFonts w:ascii="Segoe UI" w:hAnsi="Segoe UI" w:cs="Segoe UI"/>
      <w:sz w:val="18"/>
      <w:szCs w:val="18"/>
    </w:rPr>
  </w:style>
  <w:style w:type="character" w:customStyle="1" w:styleId="Titre1Car">
    <w:name w:val="Titre 1 Car"/>
    <w:basedOn w:val="Policepardfaut"/>
    <w:rPr>
      <w:rFonts w:ascii="Cambria" w:hAnsi="Cambria" w:cs="F"/>
      <w:b/>
      <w:bCs/>
      <w:color w:val="365F91"/>
      <w:sz w:val="28"/>
      <w:szCs w:val="28"/>
    </w:rPr>
  </w:style>
  <w:style w:type="character" w:customStyle="1" w:styleId="TitreCar">
    <w:name w:val="Titre Car"/>
    <w:basedOn w:val="Policepardfaut"/>
    <w:rPr>
      <w:rFonts w:ascii="Cambria" w:hAnsi="Cambria" w:cs="F"/>
      <w:color w:val="17365D"/>
      <w:spacing w:val="5"/>
      <w:kern w:val="3"/>
      <w:sz w:val="52"/>
      <w:szCs w:val="52"/>
    </w:rPr>
  </w:style>
  <w:style w:type="character" w:customStyle="1" w:styleId="Internetlink">
    <w:name w:val="Internet link"/>
    <w:basedOn w:val="Policepardfaut"/>
    <w:rPr>
      <w:color w:val="0000FF"/>
      <w:u w:val="single"/>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sz w:val="20"/>
    </w:rPr>
  </w:style>
  <w:style w:type="character" w:customStyle="1" w:styleId="ListLabel2">
    <w:name w:val="ListLabel 2"/>
    <w:rPr>
      <w:rFonts w:cs="Courier New"/>
    </w:rPr>
  </w:style>
  <w:style w:type="character" w:customStyle="1" w:styleId="Titre2Car">
    <w:name w:val="Titre 2 Car"/>
    <w:basedOn w:val="Policepardfaut"/>
    <w:rPr>
      <w:rFonts w:ascii="Calibri Light" w:eastAsia="Times New Roman" w:hAnsi="Calibri Light" w:cs="Times New Roman"/>
      <w:color w:val="2E74B5"/>
      <w:sz w:val="26"/>
      <w:szCs w:val="26"/>
    </w:rPr>
  </w:style>
  <w:style w:type="character" w:customStyle="1" w:styleId="Titre3Car">
    <w:name w:val="Titre 3 Car"/>
    <w:basedOn w:val="Policepardfaut"/>
    <w:rPr>
      <w:rFonts w:ascii="Calibri Light" w:eastAsia="Times New Roman" w:hAnsi="Calibri Light" w:cs="Times New Roman"/>
      <w:color w:val="1F4D78"/>
      <w:sz w:val="24"/>
      <w:szCs w:val="24"/>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cle.be" TargetMode="External"/><Relationship Id="rId5" Type="http://schemas.openxmlformats.org/officeDocument/2006/relationships/hyperlink" Target="mailto:economie@uccle.brussel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1790</Words>
  <Characters>9848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Berckmans Valérie</dc:creator>
  <cp:lastModifiedBy>Letizia Miceli</cp:lastModifiedBy>
  <cp:revision>4</cp:revision>
  <cp:lastPrinted>2021-01-20T09:07:00Z</cp:lastPrinted>
  <dcterms:created xsi:type="dcterms:W3CDTF">2021-02-11T12:44:00Z</dcterms:created>
  <dcterms:modified xsi:type="dcterms:W3CDTF">2021-02-26T09:14:00Z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COMMUNE UCCLE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