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1E" w:rsidRPr="0048601E" w:rsidRDefault="0048601E">
      <w:pPr>
        <w:rPr>
          <w:lang w:val="fr-BE"/>
        </w:rPr>
      </w:pPr>
      <w:r>
        <w:rPr>
          <w:rFonts w:cs="Calibri"/>
          <w:noProof/>
          <w:szCs w:val="20"/>
          <w:lang w:val="fr-BE" w:eastAsia="fr-BE"/>
        </w:rPr>
        <w:drawing>
          <wp:inline distT="0" distB="0" distL="0" distR="0" wp14:anchorId="14DE37E0" wp14:editId="2C12367C">
            <wp:extent cx="1505291" cy="972000"/>
            <wp:effectExtent l="0" t="0" r="0" b="0"/>
            <wp:docPr id="2" name="Image 2" descr="Logo_ComUccle_bleu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ComUccle_bleuCMJ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9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1E" w:rsidRDefault="0048601E">
      <w:pPr>
        <w:rPr>
          <w:b/>
          <w:i/>
          <w:u w:val="single"/>
          <w:lang w:val="fr-BE"/>
        </w:rPr>
      </w:pPr>
    </w:p>
    <w:p w:rsidR="00003AD0" w:rsidRPr="004D7EA4" w:rsidRDefault="00003AD0">
      <w:pPr>
        <w:rPr>
          <w:b/>
          <w:i/>
          <w:sz w:val="24"/>
          <w:u w:val="single"/>
          <w:lang w:val="fr-BE"/>
        </w:rPr>
      </w:pPr>
      <w:r w:rsidRPr="004D7EA4">
        <w:rPr>
          <w:b/>
          <w:i/>
          <w:sz w:val="24"/>
          <w:u w:val="single"/>
          <w:lang w:val="fr-BE"/>
        </w:rPr>
        <w:t>Liste exhaustive des documents joints à la demande de permis d'urbanisme et nombre d’exemplaires</w:t>
      </w:r>
      <w:r w:rsidR="00F1187B" w:rsidRPr="004D7EA4">
        <w:rPr>
          <w:b/>
          <w:i/>
          <w:sz w:val="24"/>
          <w:u w:val="single"/>
          <w:lang w:val="fr-BE"/>
        </w:rPr>
        <w:t> :</w:t>
      </w:r>
    </w:p>
    <w:p w:rsidR="00003AD0" w:rsidRDefault="00003AD0">
      <w:pPr>
        <w:rPr>
          <w:lang w:val="fr-B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833" w:rsidTr="007D5A37">
        <w:tc>
          <w:tcPr>
            <w:tcW w:w="9209" w:type="dxa"/>
            <w:shd w:val="clear" w:color="auto" w:fill="C9C9C9" w:themeFill="accent3" w:themeFillTint="99"/>
          </w:tcPr>
          <w:p w:rsidR="00915833" w:rsidRPr="007D5A37" w:rsidRDefault="00915833">
            <w:pPr>
              <w:rPr>
                <w:sz w:val="16"/>
                <w:szCs w:val="16"/>
                <w:lang w:val="fr-BE"/>
              </w:rPr>
            </w:pPr>
            <w:r w:rsidRPr="007D5A37">
              <w:rPr>
                <w:sz w:val="16"/>
                <w:szCs w:val="16"/>
                <w:lang w:val="fr-BE"/>
              </w:rPr>
              <w:t>TOUJOURS REQUIS</w:t>
            </w:r>
          </w:p>
        </w:tc>
      </w:tr>
      <w:tr w:rsidR="00915833" w:rsidTr="007D5A37">
        <w:tc>
          <w:tcPr>
            <w:tcW w:w="9209" w:type="dxa"/>
          </w:tcPr>
          <w:p w:rsidR="00915833" w:rsidRPr="007D5A37" w:rsidRDefault="00915833">
            <w:pPr>
              <w:rPr>
                <w:sz w:val="16"/>
                <w:szCs w:val="16"/>
                <w:lang w:val="fr-BE"/>
              </w:rPr>
            </w:pPr>
            <w:r w:rsidRPr="007D5A37">
              <w:rPr>
                <w:sz w:val="16"/>
                <w:szCs w:val="16"/>
                <w:lang w:val="fr-BE"/>
              </w:rPr>
              <w:t>EN FONCTION DE LA DEMANDE</w:t>
            </w:r>
          </w:p>
        </w:tc>
      </w:tr>
    </w:tbl>
    <w:p w:rsidR="00915833" w:rsidRDefault="00915833">
      <w:pPr>
        <w:rPr>
          <w:lang w:val="fr-B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949"/>
        <w:gridCol w:w="992"/>
        <w:gridCol w:w="567"/>
        <w:gridCol w:w="851"/>
        <w:gridCol w:w="850"/>
      </w:tblGrid>
      <w:tr w:rsidR="00AF5EA1" w:rsidTr="00FA07D8">
        <w:trPr>
          <w:cantSplit/>
          <w:trHeight w:val="2612"/>
          <w:tblHeader/>
        </w:trPr>
        <w:tc>
          <w:tcPr>
            <w:tcW w:w="5949" w:type="dxa"/>
            <w:shd w:val="clear" w:color="auto" w:fill="525252" w:themeFill="accent3" w:themeFillShade="80"/>
            <w:textDirection w:val="btLr"/>
          </w:tcPr>
          <w:p w:rsidR="00AF5EA1" w:rsidRPr="00686D42" w:rsidRDefault="00AF5EA1" w:rsidP="003B75AE">
            <w:pPr>
              <w:ind w:left="113" w:right="113"/>
              <w:rPr>
                <w:color w:val="FFFFFF" w:themeColor="background1"/>
                <w:sz w:val="18"/>
                <w:szCs w:val="18"/>
                <w:lang w:val="fr-BE"/>
              </w:rPr>
            </w:pPr>
            <w:r w:rsidRPr="00686D42">
              <w:rPr>
                <w:color w:val="FFFFFF" w:themeColor="background1"/>
                <w:sz w:val="18"/>
                <w:szCs w:val="18"/>
                <w:lang w:val="fr-BE"/>
              </w:rPr>
              <w:t>Intitulé du document</w:t>
            </w:r>
          </w:p>
        </w:tc>
        <w:tc>
          <w:tcPr>
            <w:tcW w:w="992" w:type="dxa"/>
            <w:shd w:val="clear" w:color="auto" w:fill="525252" w:themeFill="accent3" w:themeFillShade="80"/>
            <w:textDirection w:val="btLr"/>
          </w:tcPr>
          <w:p w:rsidR="00AF5EA1" w:rsidRPr="00686D42" w:rsidRDefault="00AF5EA1" w:rsidP="003B75AE">
            <w:pPr>
              <w:ind w:left="113" w:right="113"/>
              <w:rPr>
                <w:color w:val="FFFFFF" w:themeColor="background1"/>
                <w:sz w:val="18"/>
                <w:szCs w:val="18"/>
                <w:lang w:val="fr-BE"/>
              </w:rPr>
            </w:pPr>
            <w:r w:rsidRPr="00686D42">
              <w:rPr>
                <w:color w:val="FFFFFF" w:themeColor="background1"/>
                <w:sz w:val="18"/>
                <w:szCs w:val="18"/>
                <w:lang w:val="fr-BE"/>
              </w:rPr>
              <w:t>Régularisation simplifiée</w:t>
            </w:r>
            <w:r>
              <w:rPr>
                <w:color w:val="FFFFFF" w:themeColor="background1"/>
                <w:sz w:val="18"/>
                <w:szCs w:val="18"/>
                <w:lang w:val="fr-BE"/>
              </w:rPr>
              <w:t xml:space="preserve"> (45 jours) et demande répondant à l’arrêté de </w:t>
            </w:r>
            <w:proofErr w:type="spellStart"/>
            <w:r>
              <w:rPr>
                <w:color w:val="FFFFFF" w:themeColor="background1"/>
                <w:sz w:val="18"/>
                <w:szCs w:val="18"/>
                <w:lang w:val="fr-BE"/>
              </w:rPr>
              <w:t>miinime</w:t>
            </w:r>
            <w:proofErr w:type="spellEnd"/>
            <w:r>
              <w:rPr>
                <w:color w:val="FFFFFF" w:themeColor="background1"/>
                <w:sz w:val="18"/>
                <w:szCs w:val="18"/>
                <w:lang w:val="fr-BE"/>
              </w:rPr>
              <w:t xml:space="preserve"> importance (75 jours)</w:t>
            </w:r>
          </w:p>
        </w:tc>
        <w:tc>
          <w:tcPr>
            <w:tcW w:w="567" w:type="dxa"/>
            <w:shd w:val="clear" w:color="auto" w:fill="525252" w:themeFill="accent3" w:themeFillShade="80"/>
            <w:textDirection w:val="btLr"/>
          </w:tcPr>
          <w:p w:rsidR="00AF5EA1" w:rsidRPr="00686D42" w:rsidRDefault="00AF5EA1" w:rsidP="00686D42">
            <w:pPr>
              <w:ind w:left="113" w:right="113"/>
              <w:rPr>
                <w:color w:val="FFFFFF" w:themeColor="background1"/>
                <w:sz w:val="18"/>
                <w:szCs w:val="18"/>
                <w:lang w:val="fr-BE"/>
              </w:rPr>
            </w:pPr>
            <w:r w:rsidRPr="00686D42">
              <w:rPr>
                <w:color w:val="FFFFFF" w:themeColor="background1"/>
                <w:sz w:val="18"/>
                <w:szCs w:val="18"/>
                <w:lang w:val="fr-BE"/>
              </w:rPr>
              <w:t xml:space="preserve">Demande soumise à l’octroi de dérogations par le </w:t>
            </w:r>
            <w:r>
              <w:rPr>
                <w:color w:val="FFFFFF" w:themeColor="background1"/>
                <w:sz w:val="18"/>
                <w:szCs w:val="18"/>
                <w:lang w:val="fr-BE"/>
              </w:rPr>
              <w:t>FD (90 jours)</w:t>
            </w:r>
          </w:p>
        </w:tc>
        <w:tc>
          <w:tcPr>
            <w:tcW w:w="851" w:type="dxa"/>
            <w:shd w:val="clear" w:color="auto" w:fill="525252" w:themeFill="accent3" w:themeFillShade="80"/>
            <w:textDirection w:val="btLr"/>
          </w:tcPr>
          <w:p w:rsidR="00AF5EA1" w:rsidRPr="00686D42" w:rsidRDefault="00AF5EA1" w:rsidP="007F0325">
            <w:pPr>
              <w:ind w:left="113" w:right="113"/>
              <w:rPr>
                <w:color w:val="FFFFFF" w:themeColor="background1"/>
                <w:sz w:val="18"/>
                <w:szCs w:val="18"/>
                <w:lang w:val="fr-BE"/>
              </w:rPr>
            </w:pPr>
            <w:r w:rsidRPr="00686D42">
              <w:rPr>
                <w:color w:val="FFFFFF" w:themeColor="background1"/>
                <w:sz w:val="18"/>
                <w:szCs w:val="18"/>
                <w:lang w:val="fr-BE"/>
              </w:rPr>
              <w:t xml:space="preserve">Demande soumise </w:t>
            </w:r>
            <w:r>
              <w:rPr>
                <w:color w:val="FFFFFF" w:themeColor="background1"/>
                <w:sz w:val="18"/>
                <w:szCs w:val="18"/>
                <w:lang w:val="fr-BE"/>
              </w:rPr>
              <w:t>uniquement à l’avis de la Commission de concertation</w:t>
            </w:r>
          </w:p>
        </w:tc>
        <w:tc>
          <w:tcPr>
            <w:tcW w:w="850" w:type="dxa"/>
            <w:shd w:val="clear" w:color="auto" w:fill="525252" w:themeFill="accent3" w:themeFillShade="80"/>
            <w:textDirection w:val="btLr"/>
          </w:tcPr>
          <w:p w:rsidR="00AF5EA1" w:rsidRPr="00686D42" w:rsidRDefault="00AF5EA1" w:rsidP="007F0325">
            <w:pPr>
              <w:ind w:left="113" w:right="113"/>
              <w:rPr>
                <w:color w:val="FFFFFF" w:themeColor="background1"/>
                <w:sz w:val="18"/>
                <w:szCs w:val="18"/>
                <w:lang w:val="fr-BE"/>
              </w:rPr>
            </w:pPr>
            <w:r>
              <w:rPr>
                <w:color w:val="FFFFFF" w:themeColor="background1"/>
                <w:sz w:val="18"/>
                <w:szCs w:val="18"/>
                <w:lang w:val="fr-BE"/>
              </w:rPr>
              <w:t>Demande soumise à l’enquête publique et à l’avis de la commission de concertation</w:t>
            </w:r>
          </w:p>
        </w:tc>
      </w:tr>
      <w:tr w:rsidR="00AF5EA1" w:rsidTr="00FA07D8">
        <w:tc>
          <w:tcPr>
            <w:tcW w:w="5949" w:type="dxa"/>
            <w:shd w:val="clear" w:color="auto" w:fill="C9C9C9" w:themeFill="accent3" w:themeFillTint="99"/>
          </w:tcPr>
          <w:p w:rsidR="00AF5EA1" w:rsidRPr="00180C1C" w:rsidRDefault="00AF5EA1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Formulaire de demande de permis d'urbanisme (Annexe 1 de l’arrêté)</w:t>
            </w:r>
            <w:r w:rsidRPr="004D7EA4">
              <w:rPr>
                <w:sz w:val="20"/>
                <w:szCs w:val="20"/>
                <w:lang w:val="fr-BE"/>
              </w:rPr>
              <w:t> :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C27A58">
              <w:rPr>
                <w:i/>
                <w:sz w:val="18"/>
                <w:szCs w:val="18"/>
                <w:lang w:val="fr-BE"/>
              </w:rPr>
              <w:t>Dûment complété et signé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Note explicative :</w:t>
            </w:r>
          </w:p>
          <w:p w:rsidR="00AF5EA1" w:rsidRPr="00662A55" w:rsidRDefault="00AF5EA1" w:rsidP="00662A5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proofErr w:type="gramStart"/>
            <w:r w:rsidRPr="00662A55">
              <w:rPr>
                <w:i/>
                <w:sz w:val="20"/>
                <w:szCs w:val="20"/>
                <w:lang w:val="fr-BE"/>
              </w:rPr>
              <w:t>détaillant</w:t>
            </w:r>
            <w:proofErr w:type="gramEnd"/>
            <w:r w:rsidRPr="00662A55">
              <w:rPr>
                <w:i/>
                <w:sz w:val="20"/>
                <w:szCs w:val="20"/>
                <w:lang w:val="fr-BE"/>
              </w:rPr>
              <w:t xml:space="preserve"> les</w:t>
            </w:r>
            <w:r w:rsidRPr="00AF1B3D">
              <w:rPr>
                <w:i/>
                <w:sz w:val="20"/>
                <w:szCs w:val="20"/>
                <w:lang w:val="fr-BE"/>
              </w:rPr>
              <w:t xml:space="preserve"> principales options du projet</w:t>
            </w:r>
          </w:p>
          <w:p w:rsidR="00AF5EA1" w:rsidRPr="00AF1B3D" w:rsidRDefault="00AF5EA1" w:rsidP="00DB7EDE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662A55">
              <w:rPr>
                <w:i/>
                <w:sz w:val="20"/>
                <w:szCs w:val="20"/>
                <w:lang w:val="fr-BE"/>
              </w:rPr>
              <w:t>Dans la mesure où les actes et travaux projetés comportent des éléments susceptibles de nuire au voisinage, la note reprendra les dispositions prévues pour y remédier.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Pr="00AF1B3D" w:rsidRDefault="00AF5EA1" w:rsidP="00915833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 xml:space="preserve">Photos significatives extérieures : </w:t>
            </w:r>
          </w:p>
          <w:p w:rsidR="00AF5EA1" w:rsidRPr="00AF1B3D" w:rsidRDefault="00AF5EA1" w:rsidP="00742F2C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3915B2">
              <w:rPr>
                <w:i/>
                <w:sz w:val="20"/>
                <w:szCs w:val="20"/>
                <w:lang w:val="fr-BE"/>
              </w:rPr>
              <w:t xml:space="preserve">Les photos significatives sont des photos récentes </w:t>
            </w:r>
            <w:r w:rsidRPr="00AF1B3D">
              <w:rPr>
                <w:i/>
                <w:sz w:val="20"/>
                <w:szCs w:val="20"/>
                <w:lang w:val="fr-BE"/>
              </w:rPr>
              <w:t xml:space="preserve">et en couleur </w:t>
            </w:r>
            <w:r w:rsidRPr="003915B2">
              <w:rPr>
                <w:i/>
                <w:sz w:val="20"/>
                <w:szCs w:val="20"/>
                <w:lang w:val="fr-BE"/>
              </w:rPr>
              <w:t>du bien, des bâtiments contigus et du voisinage permettant d'évaluer correctement la situation existante et le contexte urbanistique dans lequel s'inscrit la demande.</w:t>
            </w:r>
          </w:p>
          <w:p w:rsidR="00AF5EA1" w:rsidRPr="00AF1B3D" w:rsidRDefault="00AF5EA1" w:rsidP="00B93A34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proofErr w:type="gramStart"/>
            <w:r w:rsidRPr="00AF1B3D">
              <w:rPr>
                <w:i/>
                <w:sz w:val="20"/>
                <w:szCs w:val="20"/>
                <w:lang w:val="fr-BE"/>
              </w:rPr>
              <w:t>au</w:t>
            </w:r>
            <w:proofErr w:type="gramEnd"/>
            <w:r w:rsidRPr="00AF1B3D">
              <w:rPr>
                <w:i/>
                <w:sz w:val="20"/>
                <w:szCs w:val="20"/>
                <w:lang w:val="fr-BE"/>
              </w:rPr>
              <w:t xml:space="preserve"> moins 3 sous différents angles de la façades avant et un nombre adéquat en fonction de la demande en façade arrière. </w:t>
            </w:r>
          </w:p>
          <w:p w:rsidR="00AF5EA1" w:rsidRPr="00AF1B3D" w:rsidRDefault="00AF5EA1" w:rsidP="00B93A34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proofErr w:type="gramStart"/>
            <w:r w:rsidRPr="003915B2">
              <w:rPr>
                <w:i/>
                <w:sz w:val="20"/>
                <w:szCs w:val="20"/>
                <w:lang w:val="fr-BE"/>
              </w:rPr>
              <w:t>présentées</w:t>
            </w:r>
            <w:proofErr w:type="gramEnd"/>
            <w:r w:rsidRPr="003915B2">
              <w:rPr>
                <w:i/>
                <w:sz w:val="20"/>
                <w:szCs w:val="20"/>
                <w:lang w:val="fr-BE"/>
              </w:rPr>
              <w:t xml:space="preserve"> sur un document (plié) au format DIN A4.</w:t>
            </w:r>
          </w:p>
          <w:p w:rsidR="00AF5EA1" w:rsidRPr="00AF1B3D" w:rsidRDefault="00AF5EA1" w:rsidP="00742F2C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3915B2">
              <w:rPr>
                <w:i/>
                <w:sz w:val="20"/>
                <w:szCs w:val="20"/>
                <w:lang w:val="fr-BE"/>
              </w:rPr>
              <w:t>Les différents endroits de prise de vue sont indiqués sur le plan d'implantation visé à l'article 16 ou, à défaut, sur les plans de réalisation.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Pr="00AF1B3D" w:rsidRDefault="00AF5EA1" w:rsidP="00915833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Plans :</w:t>
            </w:r>
          </w:p>
          <w:p w:rsidR="00AF5EA1" w:rsidRPr="00AF1B3D" w:rsidRDefault="00AF5EA1" w:rsidP="001672E4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De localisation, d’implantation, de réalisation et si nécessaire de détail.</w:t>
            </w:r>
          </w:p>
          <w:p w:rsidR="00AF5EA1" w:rsidRPr="00AF1B3D" w:rsidRDefault="00AF5EA1" w:rsidP="001672E4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Attention, pour les nouvelles constructions (éventuellement les extensions), un plan de bornage avec PV de bornage.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8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Pr="00AF1B3D" w:rsidRDefault="00AF5EA1" w:rsidP="00915833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Plans de synthèse (dossier A3)</w:t>
            </w:r>
          </w:p>
          <w:p w:rsidR="00AF5EA1" w:rsidRPr="00AF1B3D" w:rsidRDefault="00AF5EA1" w:rsidP="00C56C4A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Lorsque les plans de réalisations dépassent le format DIN A3, ils offrent une meilleure lisibilité.</w:t>
            </w:r>
          </w:p>
          <w:p w:rsidR="00AF5EA1" w:rsidRPr="00AF1B3D" w:rsidRDefault="00AF5EA1" w:rsidP="0008509D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Ils comportent une légende et tous les plans des situations existantes et projetée ;</w:t>
            </w:r>
          </w:p>
          <w:p w:rsidR="00AF5EA1" w:rsidRPr="00FA07D8" w:rsidRDefault="00AF5EA1" w:rsidP="00C56C4A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Ils doivent être lisibles, y compris pour les côtes et informations essentielles.</w:t>
            </w:r>
          </w:p>
          <w:p w:rsidR="00FA07D8" w:rsidRDefault="00FA07D8" w:rsidP="00FA07D8">
            <w:pPr>
              <w:pStyle w:val="Paragraphedeliste"/>
              <w:ind w:left="164"/>
              <w:rPr>
                <w:i/>
                <w:sz w:val="20"/>
                <w:szCs w:val="20"/>
                <w:lang w:val="fr-BE"/>
              </w:rPr>
            </w:pPr>
          </w:p>
          <w:p w:rsidR="00FA07D8" w:rsidRPr="00AF1B3D" w:rsidRDefault="00FA07D8" w:rsidP="00FA07D8">
            <w:pPr>
              <w:pStyle w:val="Paragraphedeliste"/>
              <w:ind w:left="164"/>
              <w:rPr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Pr="00AF1B3D" w:rsidRDefault="00AF5EA1" w:rsidP="00915833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lastRenderedPageBreak/>
              <w:t>Renseignements relatifs au Titre de Propriété :</w:t>
            </w:r>
          </w:p>
          <w:p w:rsidR="00AF5EA1" w:rsidRPr="00AF1B3D" w:rsidRDefault="00AF5EA1" w:rsidP="0008509D">
            <w:pPr>
              <w:rPr>
                <w:i/>
                <w:sz w:val="20"/>
                <w:szCs w:val="20"/>
                <w:lang w:val="fr-BE"/>
              </w:rPr>
            </w:pPr>
            <w:proofErr w:type="gramStart"/>
            <w:r w:rsidRPr="00AF1B3D">
              <w:rPr>
                <w:i/>
                <w:sz w:val="20"/>
                <w:szCs w:val="20"/>
                <w:lang w:val="fr-BE"/>
              </w:rPr>
              <w:t>délivrés</w:t>
            </w:r>
            <w:proofErr w:type="gramEnd"/>
            <w:r w:rsidRPr="00AF1B3D">
              <w:rPr>
                <w:i/>
                <w:sz w:val="20"/>
                <w:szCs w:val="20"/>
                <w:lang w:val="fr-BE"/>
              </w:rPr>
              <w:t xml:space="preserve"> conformément à l'article 144 du Code des droits de succession par le receveur des droits de succession du ressort dans lequel le bien est situé ou, si l'acte date de moins de 6 mois avant l'introduction de la demande, une attestation du notaire ayant établi cet acte.</w:t>
            </w:r>
          </w:p>
          <w:p w:rsidR="00AF5EA1" w:rsidRPr="00AF1B3D" w:rsidRDefault="00AF5EA1" w:rsidP="00360FB2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(Bureau de l'Enregistrement, rue de la Régence 54, 1000 Bruxelles, ou la Tour des Finances)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Pr="00AF1B3D" w:rsidRDefault="00AF5EA1" w:rsidP="00915833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Formulaire statistique INS modèle I ou II</w:t>
            </w:r>
          </w:p>
          <w:p w:rsidR="00AF5EA1" w:rsidRPr="00AF1B3D" w:rsidRDefault="00AF5EA1" w:rsidP="00344AD8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prévu par l'arrêté royal du 3 décembre 1962 prescrivant une statistique mensuelle des permis de bâtir ainsi que des bâtiments commencés et des bâtiments achevés pendant le mois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3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C9C9C9" w:themeFill="accent3" w:themeFillTint="99"/>
          </w:tcPr>
          <w:p w:rsidR="00AF5EA1" w:rsidRDefault="00AF5EA1" w:rsidP="00915833">
            <w:pPr>
              <w:rPr>
                <w:sz w:val="20"/>
                <w:szCs w:val="20"/>
                <w:u w:val="single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Version électronique :</w:t>
            </w:r>
          </w:p>
          <w:p w:rsidR="00AF5EA1" w:rsidRDefault="00C44480" w:rsidP="001473C5">
            <w:pPr>
              <w:rPr>
                <w:i/>
                <w:sz w:val="20"/>
                <w:szCs w:val="20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 xml:space="preserve">Les documents (l’ensemble des pièces du dossier de la demande de permis d'urbanisme) sont à envoyer sous format PDF </w:t>
            </w:r>
            <w:r w:rsidR="00B34A34">
              <w:rPr>
                <w:i/>
                <w:sz w:val="20"/>
                <w:szCs w:val="20"/>
                <w:lang w:val="fr-BE"/>
              </w:rPr>
              <w:t xml:space="preserve">à l’adresse suivante </w:t>
            </w:r>
            <w:hyperlink r:id="rId8" w:history="1">
              <w:r w:rsidR="00B34A34" w:rsidRPr="00CF7312">
                <w:rPr>
                  <w:rStyle w:val="Lienhypertexte"/>
                  <w:i/>
                  <w:sz w:val="20"/>
                  <w:szCs w:val="20"/>
                  <w:lang w:val="fr-BE"/>
                </w:rPr>
                <w:t>urbanisme.deposit@uccle.brussels</w:t>
              </w:r>
            </w:hyperlink>
            <w:r w:rsidR="00B34A34">
              <w:rPr>
                <w:i/>
                <w:sz w:val="20"/>
                <w:szCs w:val="20"/>
                <w:lang w:val="fr-BE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0"/>
                <w:szCs w:val="20"/>
                <w:lang w:val="fr-BE"/>
              </w:rPr>
              <w:t>via WE TRANSFER et le fichier</w:t>
            </w:r>
            <w:r w:rsidR="00DB0B9B">
              <w:rPr>
                <w:i/>
                <w:sz w:val="20"/>
                <w:szCs w:val="20"/>
                <w:lang w:val="fr-BE"/>
              </w:rPr>
              <w:t xml:space="preserve"> doit être nommé comme suit : n° de dossier – adresse du bien – nom du demandeur (ex : 16-41454-2019-rue A. Danse 25 – DUPONT).</w:t>
            </w:r>
          </w:p>
          <w:p w:rsidR="00DB0B9B" w:rsidRPr="00AF1B3D" w:rsidRDefault="00DB0B9B" w:rsidP="001473C5">
            <w:pPr>
              <w:rPr>
                <w:sz w:val="20"/>
                <w:szCs w:val="20"/>
                <w:u w:val="single"/>
                <w:lang w:val="fr-BE"/>
              </w:rPr>
            </w:pPr>
            <w:r>
              <w:rPr>
                <w:i/>
                <w:sz w:val="20"/>
                <w:szCs w:val="20"/>
                <w:lang w:val="fr-BE"/>
              </w:rPr>
              <w:t xml:space="preserve">Attention la plateforme NOVA est limitée en espace disque, </w:t>
            </w:r>
            <w:r w:rsidR="00262EF4">
              <w:rPr>
                <w:i/>
                <w:sz w:val="20"/>
                <w:szCs w:val="20"/>
                <w:lang w:val="fr-BE"/>
              </w:rPr>
              <w:t>il est demandé que de compresser les fichiers à une taille minimale de 50MB et permettant la lisibilité des documents</w:t>
            </w:r>
          </w:p>
        </w:tc>
        <w:tc>
          <w:tcPr>
            <w:tcW w:w="992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  <w:tc>
          <w:tcPr>
            <w:tcW w:w="567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FD27C5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L’Axonométrie :</w:t>
            </w:r>
          </w:p>
          <w:p w:rsidR="00AF5EA1" w:rsidRPr="00AF1B3D" w:rsidRDefault="00AF5EA1" w:rsidP="00FD27C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proofErr w:type="gramStart"/>
            <w:r w:rsidRPr="00AF1B3D">
              <w:rPr>
                <w:i/>
                <w:sz w:val="20"/>
                <w:szCs w:val="20"/>
                <w:lang w:val="fr-BE"/>
              </w:rPr>
              <w:t>en</w:t>
            </w:r>
            <w:proofErr w:type="gramEnd"/>
            <w:r w:rsidRPr="00AF1B3D">
              <w:rPr>
                <w:i/>
                <w:sz w:val="20"/>
                <w:szCs w:val="20"/>
                <w:lang w:val="fr-BE"/>
              </w:rPr>
              <w:t xml:space="preserve"> noir et blanc au format A3</w:t>
            </w:r>
          </w:p>
          <w:p w:rsidR="00AF5EA1" w:rsidRPr="00AF1B3D" w:rsidRDefault="00AF5EA1" w:rsidP="00FD27C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en cas de construction neuve ou d’extension de plus de 400m² ou dépassement d’un niveau les constructions environnantes dans un rayon de 100m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FD27C5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L’avertissement au(x) (</w:t>
            </w:r>
            <w:proofErr w:type="spellStart"/>
            <w:r w:rsidRPr="00AF1B3D">
              <w:rPr>
                <w:sz w:val="20"/>
                <w:szCs w:val="20"/>
                <w:u w:val="single"/>
                <w:lang w:val="fr-BE"/>
              </w:rPr>
              <w:t>co</w:t>
            </w:r>
            <w:proofErr w:type="spellEnd"/>
            <w:r w:rsidRPr="00AF1B3D">
              <w:rPr>
                <w:sz w:val="20"/>
                <w:szCs w:val="20"/>
                <w:u w:val="single"/>
                <w:lang w:val="fr-BE"/>
              </w:rPr>
              <w:t xml:space="preserve">)propriétaires(s) (Annexe 2 de l’arrêté) : </w:t>
            </w:r>
          </w:p>
          <w:p w:rsidR="00AF5EA1" w:rsidRPr="00AF1B3D" w:rsidRDefault="00AF5EA1" w:rsidP="00FD27C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 xml:space="preserve">Copie de cet avis </w:t>
            </w:r>
            <w:r w:rsidRPr="00794C68">
              <w:rPr>
                <w:i/>
                <w:sz w:val="20"/>
                <w:szCs w:val="20"/>
                <w:lang w:val="fr-BE"/>
              </w:rPr>
              <w:t>envoyé par recommandé</w:t>
            </w:r>
          </w:p>
          <w:p w:rsidR="00AF5EA1" w:rsidRPr="00AF1B3D" w:rsidRDefault="00AF5EA1" w:rsidP="00FD27C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joindre également le récépissé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</w:tr>
      <w:tr w:rsidR="00AF5EA1" w:rsidRPr="00AF1B3D" w:rsidTr="00FA07D8">
        <w:tc>
          <w:tcPr>
            <w:tcW w:w="5949" w:type="dxa"/>
          </w:tcPr>
          <w:p w:rsidR="00AF5EA1" w:rsidRPr="00AF1B3D" w:rsidRDefault="00AF5EA1" w:rsidP="00FD27C5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L’avertissement au(x) propriétaire(s) des biens mitoyens :</w:t>
            </w:r>
          </w:p>
          <w:p w:rsidR="00AF5EA1" w:rsidRPr="00AF1B3D" w:rsidRDefault="00AF5EA1" w:rsidP="00E4748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proofErr w:type="gramStart"/>
            <w:r w:rsidRPr="00AF1B3D">
              <w:rPr>
                <w:i/>
                <w:sz w:val="20"/>
                <w:szCs w:val="20"/>
                <w:lang w:val="fr-BE"/>
              </w:rPr>
              <w:t>l’avertissant</w:t>
            </w:r>
            <w:proofErr w:type="gramEnd"/>
            <w:r w:rsidRPr="00AF1B3D">
              <w:rPr>
                <w:i/>
                <w:sz w:val="20"/>
                <w:szCs w:val="20"/>
                <w:lang w:val="fr-BE"/>
              </w:rPr>
              <w:t xml:space="preserve"> qu’une demande est introduite</w:t>
            </w:r>
          </w:p>
          <w:p w:rsidR="00AF5EA1" w:rsidRPr="00AF1B3D" w:rsidRDefault="00AF5EA1" w:rsidP="00E47485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lorsque le bien est bâti en mitoyenneté</w:t>
            </w:r>
          </w:p>
        </w:tc>
        <w:tc>
          <w:tcPr>
            <w:tcW w:w="992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567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851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850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1</w:t>
            </w:r>
          </w:p>
        </w:tc>
      </w:tr>
      <w:tr w:rsidR="00AF5EA1" w:rsidRPr="00AF1B3D" w:rsidTr="00FA07D8">
        <w:tc>
          <w:tcPr>
            <w:tcW w:w="5949" w:type="dxa"/>
          </w:tcPr>
          <w:p w:rsidR="00AF5EA1" w:rsidRPr="00EF2E8F" w:rsidRDefault="00AF5EA1" w:rsidP="00FD27C5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 xml:space="preserve">Note socio-économique </w:t>
            </w:r>
            <w:r w:rsidRPr="00AF1B3D">
              <w:rPr>
                <w:i/>
                <w:sz w:val="20"/>
                <w:szCs w:val="20"/>
                <w:lang w:val="fr-BE"/>
              </w:rPr>
              <w:t>Exigée par le PRAS</w:t>
            </w:r>
          </w:p>
        </w:tc>
        <w:tc>
          <w:tcPr>
            <w:tcW w:w="992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</w:tcPr>
          <w:p w:rsidR="00AF5EA1" w:rsidRPr="00EF2E8F" w:rsidRDefault="00AF5EA1" w:rsidP="00FD27C5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 xml:space="preserve">Note </w:t>
            </w:r>
            <w:r w:rsidRPr="00EF2E8F">
              <w:rPr>
                <w:sz w:val="20"/>
                <w:szCs w:val="20"/>
                <w:u w:val="single"/>
                <w:lang w:val="fr-BE"/>
              </w:rPr>
              <w:t>motivée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i/>
                <w:sz w:val="20"/>
                <w:szCs w:val="20"/>
                <w:lang w:val="fr-BE"/>
              </w:rPr>
              <w:t>o</w:t>
            </w:r>
            <w:r w:rsidRPr="00EF2E8F">
              <w:rPr>
                <w:i/>
                <w:sz w:val="20"/>
                <w:szCs w:val="20"/>
                <w:lang w:val="fr-BE"/>
              </w:rPr>
              <w:t>u</w:t>
            </w:r>
            <w:r w:rsidRPr="00AF1B3D">
              <w:rPr>
                <w:i/>
                <w:sz w:val="20"/>
                <w:szCs w:val="20"/>
                <w:lang w:val="fr-BE"/>
              </w:rPr>
              <w:t xml:space="preserve"> tout autre document pouvant être imposé par un plan d’affectation du sol ou règlement d’urbanisme</w:t>
            </w:r>
          </w:p>
        </w:tc>
        <w:tc>
          <w:tcPr>
            <w:tcW w:w="992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</w:tcPr>
          <w:p w:rsidR="00AF5EA1" w:rsidRPr="00AF1B3D" w:rsidRDefault="00AF5EA1" w:rsidP="00FD27C5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794C68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 xml:space="preserve">Le Mandat : </w:t>
            </w:r>
          </w:p>
          <w:p w:rsidR="00AF5EA1" w:rsidRPr="00AF1B3D" w:rsidRDefault="00AF5EA1" w:rsidP="0008509D">
            <w:pPr>
              <w:rPr>
                <w:rFonts w:ascii="Calibri" w:hAnsi="Calibri" w:cs="Calibri"/>
                <w:sz w:val="20"/>
                <w:szCs w:val="20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dans l’éventualité où le demandeur mandate une autre personne à le remplacer dans le cadre de la présente demande.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794C68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Les formulaires de demande d’avis SIAMU</w:t>
            </w:r>
            <w:r w:rsidRPr="00AF1B3D">
              <w:rPr>
                <w:sz w:val="20"/>
                <w:szCs w:val="20"/>
                <w:lang w:val="fr-BE"/>
              </w:rPr>
              <w:t xml:space="preserve"> </w:t>
            </w:r>
            <w:r w:rsidRPr="00AF1B3D">
              <w:rPr>
                <w:i/>
                <w:sz w:val="20"/>
                <w:szCs w:val="20"/>
                <w:lang w:val="fr-BE"/>
              </w:rPr>
              <w:t xml:space="preserve">accompagné d’un jeu de </w:t>
            </w:r>
            <w:r>
              <w:rPr>
                <w:i/>
                <w:sz w:val="20"/>
                <w:szCs w:val="20"/>
                <w:lang w:val="fr-BE"/>
              </w:rPr>
              <w:t>plan et de la notice explicative. Les formulaires sont disponibles sur le site WEB du SIAMU.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Default="00AF5EA1" w:rsidP="00794C68">
            <w:pPr>
              <w:rPr>
                <w:i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u w:val="single"/>
                <w:lang w:val="fr-BE"/>
              </w:rPr>
              <w:t>L’avis SIAMU</w:t>
            </w:r>
            <w:r w:rsidRPr="00597E27">
              <w:rPr>
                <w:i/>
                <w:sz w:val="20"/>
                <w:szCs w:val="20"/>
                <w:lang w:val="fr-BE"/>
              </w:rPr>
              <w:t xml:space="preserve"> à demander préalablement à l’introduction de la demande et joint avec l’ensemble des plans cachetés par le SIAMU</w:t>
            </w:r>
            <w:r w:rsidR="00FF12D7">
              <w:rPr>
                <w:i/>
                <w:sz w:val="20"/>
                <w:szCs w:val="20"/>
                <w:lang w:val="fr-BE"/>
              </w:rPr>
              <w:t xml:space="preserve"> UNIQUEMENT POUR LA REGULARISATION SIMPLIFIEE</w:t>
            </w:r>
          </w:p>
          <w:p w:rsidR="00262EF4" w:rsidRDefault="00262EF4" w:rsidP="00794C68">
            <w:pPr>
              <w:rPr>
                <w:i/>
                <w:sz w:val="20"/>
                <w:szCs w:val="20"/>
                <w:lang w:val="fr-BE"/>
              </w:rPr>
            </w:pPr>
          </w:p>
          <w:p w:rsidR="00262EF4" w:rsidRDefault="00262EF4" w:rsidP="00794C68">
            <w:pPr>
              <w:rPr>
                <w:i/>
                <w:sz w:val="20"/>
                <w:szCs w:val="20"/>
                <w:lang w:val="fr-BE"/>
              </w:rPr>
            </w:pPr>
          </w:p>
          <w:p w:rsidR="00262EF4" w:rsidRPr="00AF1B3D" w:rsidRDefault="00262EF4" w:rsidP="00794C68">
            <w:pPr>
              <w:rPr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992" w:type="dxa"/>
            <w:shd w:val="clear" w:color="auto" w:fill="auto"/>
          </w:tcPr>
          <w:p w:rsidR="00AF5EA1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/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i/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lastRenderedPageBreak/>
              <w:t>La proposition PEB :</w:t>
            </w:r>
          </w:p>
          <w:p w:rsidR="00AF5EA1" w:rsidRPr="00AF1B3D" w:rsidRDefault="00AF5EA1" w:rsidP="001D606D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proofErr w:type="gramStart"/>
            <w:r w:rsidRPr="00AF1B3D">
              <w:rPr>
                <w:i/>
                <w:sz w:val="20"/>
                <w:szCs w:val="20"/>
                <w:lang w:val="fr-BE"/>
              </w:rPr>
              <w:t>à</w:t>
            </w:r>
            <w:proofErr w:type="gramEnd"/>
            <w:r w:rsidRPr="00AF1B3D">
              <w:rPr>
                <w:i/>
                <w:sz w:val="20"/>
                <w:szCs w:val="20"/>
                <w:lang w:val="fr-BE"/>
              </w:rPr>
              <w:t xml:space="preserve"> générer via la dernière version du logiciel PEB en vigueur.</w:t>
            </w:r>
          </w:p>
          <w:p w:rsidR="00AF5EA1" w:rsidRPr="00AF1B3D" w:rsidRDefault="00AF5EA1" w:rsidP="001D606D">
            <w:pPr>
              <w:pStyle w:val="Paragraphedeliste"/>
              <w:numPr>
                <w:ilvl w:val="0"/>
                <w:numId w:val="11"/>
              </w:numPr>
              <w:ind w:left="164" w:hanging="142"/>
              <w:rPr>
                <w:i/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A titre informatif : n’oubliez pas de transmettre les documents suivants lors de l’évolution de votre dossier de permis d’urbanisme : la notification PEB de début de travaux, à remettre 8 jours avant le début des travaux et la déclaration PEB à remettre en fin de chantier.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EF2E8F" w:rsidRDefault="00AF5EA1" w:rsidP="00D70EA8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Le Rapport d’incidence ou Note préparatoire à l’étude d’</w:t>
            </w:r>
            <w:r>
              <w:rPr>
                <w:sz w:val="20"/>
                <w:szCs w:val="20"/>
                <w:u w:val="single"/>
                <w:lang w:val="fr-BE"/>
              </w:rPr>
              <w:t>incidence (177)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i/>
                <w:sz w:val="20"/>
                <w:szCs w:val="20"/>
                <w:lang w:val="fr-BE"/>
              </w:rPr>
              <w:t>e</w:t>
            </w:r>
            <w:r w:rsidRPr="00AF1B3D">
              <w:rPr>
                <w:i/>
                <w:sz w:val="20"/>
                <w:szCs w:val="20"/>
                <w:lang w:val="fr-BE"/>
              </w:rPr>
              <w:t>n cas de dossier mixte PU-PE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L’évaluation appropriée requise par la législation relative à la conservation de la nature</w:t>
            </w:r>
          </w:p>
          <w:p w:rsidR="00AF5EA1" w:rsidRPr="00AF1B3D" w:rsidRDefault="00AF5EA1" w:rsidP="001D606D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 xml:space="preserve">Demande dans les 60m d’une zone </w:t>
            </w:r>
            <w:proofErr w:type="spellStart"/>
            <w:r w:rsidRPr="00AF1B3D">
              <w:rPr>
                <w:i/>
                <w:sz w:val="20"/>
                <w:szCs w:val="20"/>
                <w:lang w:val="fr-BE"/>
              </w:rPr>
              <w:t>Natura</w:t>
            </w:r>
            <w:proofErr w:type="spellEnd"/>
            <w:r w:rsidRPr="00AF1B3D">
              <w:rPr>
                <w:i/>
                <w:sz w:val="20"/>
                <w:szCs w:val="20"/>
                <w:lang w:val="fr-BE"/>
              </w:rPr>
              <w:t xml:space="preserve"> 2000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Document relatif à la reconnaissance de l’état du sol (RES)</w:t>
            </w:r>
          </w:p>
          <w:p w:rsidR="00AF5EA1" w:rsidRPr="00AF1B3D" w:rsidRDefault="00AF5EA1" w:rsidP="001D606D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En cas de pollution de sol et se référer à la carte des sols sur le site www.bruxellesenvironnement.be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 xml:space="preserve">Autorisation préalable du gestionnaire du cours d’eau </w:t>
            </w:r>
          </w:p>
          <w:p w:rsidR="00AF5EA1" w:rsidRPr="00AF1B3D" w:rsidRDefault="00AF5EA1" w:rsidP="001D606D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Lorsque la demande est située à moins de 4m d’un cours d’eau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Le reportage photographique intérieur :</w:t>
            </w:r>
          </w:p>
          <w:p w:rsidR="00AF5EA1" w:rsidRPr="00AF1B3D" w:rsidRDefault="00AF5EA1" w:rsidP="001D606D">
            <w:pPr>
              <w:rPr>
                <w:sz w:val="20"/>
                <w:szCs w:val="20"/>
                <w:lang w:val="fr-BE"/>
              </w:rPr>
            </w:pPr>
            <w:r w:rsidRPr="00AF1B3D">
              <w:rPr>
                <w:i/>
                <w:sz w:val="20"/>
                <w:szCs w:val="20"/>
                <w:lang w:val="fr-BE"/>
              </w:rPr>
              <w:t>En cas de démolition de bâtiment ou suppression d’éléments de décors intérieurs remarquables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Les pièces justifiant l’existence d’un chantier (publicité)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Le(s) visuel(s) de la publicité sur bâche de chantier et/ou vinyle publicitaire ou assimilé (publicité)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  <w:tr w:rsidR="00AF5EA1" w:rsidRPr="00AF1B3D" w:rsidTr="00FA07D8">
        <w:tc>
          <w:tcPr>
            <w:tcW w:w="5949" w:type="dxa"/>
            <w:shd w:val="clear" w:color="auto" w:fill="auto"/>
          </w:tcPr>
          <w:p w:rsidR="00AF5EA1" w:rsidRPr="00AF1B3D" w:rsidRDefault="00AF5EA1" w:rsidP="001D606D">
            <w:pPr>
              <w:rPr>
                <w:sz w:val="20"/>
                <w:szCs w:val="20"/>
                <w:u w:val="single"/>
                <w:lang w:val="fr-BE"/>
              </w:rPr>
            </w:pPr>
            <w:r w:rsidRPr="00AF1B3D">
              <w:rPr>
                <w:sz w:val="20"/>
                <w:szCs w:val="20"/>
                <w:u w:val="single"/>
                <w:lang w:val="fr-BE"/>
              </w:rPr>
              <w:t>Les montages photographiques (publicité)</w:t>
            </w:r>
          </w:p>
        </w:tc>
        <w:tc>
          <w:tcPr>
            <w:tcW w:w="992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5EA1" w:rsidRPr="00AF1B3D" w:rsidRDefault="00AF5EA1" w:rsidP="00DB7EDE">
            <w:pPr>
              <w:jc w:val="center"/>
              <w:rPr>
                <w:sz w:val="20"/>
                <w:szCs w:val="20"/>
                <w:lang w:val="fr-BE"/>
              </w:rPr>
            </w:pPr>
            <w:r w:rsidRPr="00AF1B3D">
              <w:rPr>
                <w:sz w:val="20"/>
                <w:szCs w:val="20"/>
                <w:lang w:val="fr-BE"/>
              </w:rPr>
              <w:t>6</w:t>
            </w:r>
          </w:p>
        </w:tc>
      </w:tr>
    </w:tbl>
    <w:p w:rsidR="00003AD0" w:rsidRPr="00AF1B3D" w:rsidRDefault="00003AD0">
      <w:pPr>
        <w:rPr>
          <w:sz w:val="20"/>
          <w:szCs w:val="20"/>
          <w:lang w:val="fr-BE"/>
        </w:rPr>
      </w:pPr>
    </w:p>
    <w:sectPr w:rsidR="00003AD0" w:rsidRPr="00AF1B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54" w:rsidRDefault="00330354" w:rsidP="00FA07D8">
      <w:r>
        <w:separator/>
      </w:r>
    </w:p>
  </w:endnote>
  <w:endnote w:type="continuationSeparator" w:id="0">
    <w:p w:rsidR="00330354" w:rsidRDefault="00330354" w:rsidP="00FA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75990"/>
      <w:docPartObj>
        <w:docPartGallery w:val="Page Numbers (Bottom of Page)"/>
        <w:docPartUnique/>
      </w:docPartObj>
    </w:sdtPr>
    <w:sdtEndPr/>
    <w:sdtContent>
      <w:p w:rsidR="00FA07D8" w:rsidRDefault="00FA07D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34">
          <w:rPr>
            <w:noProof/>
          </w:rPr>
          <w:t>3</w:t>
        </w:r>
        <w:r>
          <w:fldChar w:fldCharType="end"/>
        </w:r>
      </w:p>
    </w:sdtContent>
  </w:sdt>
  <w:p w:rsidR="00FA07D8" w:rsidRDefault="00FA07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54" w:rsidRDefault="00330354" w:rsidP="00FA07D8">
      <w:r>
        <w:separator/>
      </w:r>
    </w:p>
  </w:footnote>
  <w:footnote w:type="continuationSeparator" w:id="0">
    <w:p w:rsidR="00330354" w:rsidRDefault="00330354" w:rsidP="00FA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0A5"/>
    <w:multiLevelType w:val="hybridMultilevel"/>
    <w:tmpl w:val="EE0253A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03C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F2D"/>
    <w:multiLevelType w:val="multilevel"/>
    <w:tmpl w:val="3BB4C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U-puce-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B6D6B"/>
    <w:multiLevelType w:val="multilevel"/>
    <w:tmpl w:val="4470D516"/>
    <w:lvl w:ilvl="0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-"/>
      <w:lvlJc w:val="left"/>
      <w:pPr>
        <w:tabs>
          <w:tab w:val="num" w:pos="2254"/>
        </w:tabs>
        <w:ind w:left="2254" w:hanging="454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62961C2"/>
    <w:multiLevelType w:val="multilevel"/>
    <w:tmpl w:val="56B0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A0783D"/>
    <w:multiLevelType w:val="hybridMultilevel"/>
    <w:tmpl w:val="CC881352"/>
    <w:lvl w:ilvl="0" w:tplc="D5FCA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5B2C"/>
    <w:multiLevelType w:val="multilevel"/>
    <w:tmpl w:val="C614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U-puce-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8E0C52"/>
    <w:multiLevelType w:val="multilevel"/>
    <w:tmpl w:val="9AD2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D0"/>
    <w:rsid w:val="00003AD0"/>
    <w:rsid w:val="00052A0F"/>
    <w:rsid w:val="0008509D"/>
    <w:rsid w:val="000D090A"/>
    <w:rsid w:val="001165F1"/>
    <w:rsid w:val="001247CA"/>
    <w:rsid w:val="001473C5"/>
    <w:rsid w:val="00163588"/>
    <w:rsid w:val="001672E4"/>
    <w:rsid w:val="00180C1C"/>
    <w:rsid w:val="001D606D"/>
    <w:rsid w:val="00240A1E"/>
    <w:rsid w:val="00262EF4"/>
    <w:rsid w:val="002A71B5"/>
    <w:rsid w:val="002B0A47"/>
    <w:rsid w:val="00330354"/>
    <w:rsid w:val="00344AD8"/>
    <w:rsid w:val="00360FB2"/>
    <w:rsid w:val="003715B0"/>
    <w:rsid w:val="00385684"/>
    <w:rsid w:val="003915B2"/>
    <w:rsid w:val="003B75AE"/>
    <w:rsid w:val="004017D0"/>
    <w:rsid w:val="0048601E"/>
    <w:rsid w:val="004959D8"/>
    <w:rsid w:val="004970E2"/>
    <w:rsid w:val="004B58FD"/>
    <w:rsid w:val="004D0666"/>
    <w:rsid w:val="004D7EA4"/>
    <w:rsid w:val="0054212D"/>
    <w:rsid w:val="00597E27"/>
    <w:rsid w:val="00615F0B"/>
    <w:rsid w:val="00662A55"/>
    <w:rsid w:val="00686D42"/>
    <w:rsid w:val="006B135A"/>
    <w:rsid w:val="006D27D4"/>
    <w:rsid w:val="00742F2C"/>
    <w:rsid w:val="00747795"/>
    <w:rsid w:val="007531A7"/>
    <w:rsid w:val="00754F53"/>
    <w:rsid w:val="0078017A"/>
    <w:rsid w:val="00794C68"/>
    <w:rsid w:val="007D5A37"/>
    <w:rsid w:val="007E3BE4"/>
    <w:rsid w:val="007F0325"/>
    <w:rsid w:val="007F2942"/>
    <w:rsid w:val="00804D3F"/>
    <w:rsid w:val="00895007"/>
    <w:rsid w:val="008C5945"/>
    <w:rsid w:val="00915833"/>
    <w:rsid w:val="00931906"/>
    <w:rsid w:val="00955964"/>
    <w:rsid w:val="00966B56"/>
    <w:rsid w:val="00975502"/>
    <w:rsid w:val="00995E90"/>
    <w:rsid w:val="009C7897"/>
    <w:rsid w:val="00A52711"/>
    <w:rsid w:val="00A560DB"/>
    <w:rsid w:val="00AF1B3D"/>
    <w:rsid w:val="00AF5EA1"/>
    <w:rsid w:val="00B34A34"/>
    <w:rsid w:val="00B93A34"/>
    <w:rsid w:val="00BA006C"/>
    <w:rsid w:val="00BD26B4"/>
    <w:rsid w:val="00BF1089"/>
    <w:rsid w:val="00C27A58"/>
    <w:rsid w:val="00C44480"/>
    <w:rsid w:val="00C56C4A"/>
    <w:rsid w:val="00CC1C6C"/>
    <w:rsid w:val="00D2631F"/>
    <w:rsid w:val="00D70EA8"/>
    <w:rsid w:val="00D91320"/>
    <w:rsid w:val="00DA544B"/>
    <w:rsid w:val="00DB0B9B"/>
    <w:rsid w:val="00DB7EDE"/>
    <w:rsid w:val="00DF106D"/>
    <w:rsid w:val="00E47485"/>
    <w:rsid w:val="00E94349"/>
    <w:rsid w:val="00EC51EF"/>
    <w:rsid w:val="00EF2E8F"/>
    <w:rsid w:val="00F03AB7"/>
    <w:rsid w:val="00F1187B"/>
    <w:rsid w:val="00F11F1B"/>
    <w:rsid w:val="00F34BCC"/>
    <w:rsid w:val="00FA07D8"/>
    <w:rsid w:val="00FC33E0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910"/>
  <w15:chartTrackingRefBased/>
  <w15:docId w15:val="{1A384B72-06B0-4D4B-9203-ACB0298C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B0"/>
    <w:pPr>
      <w:spacing w:after="0" w:line="240" w:lineRule="auto"/>
    </w:pPr>
    <w:rPr>
      <w:rFonts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-puce-2">
    <w:name w:val="U-puce-2"/>
    <w:basedOn w:val="Retraitcorpsdetexte2"/>
    <w:link w:val="U-puce-2Car"/>
    <w:qFormat/>
    <w:rsid w:val="003715B0"/>
    <w:pPr>
      <w:numPr>
        <w:ilvl w:val="1"/>
        <w:numId w:val="9"/>
      </w:numPr>
      <w:spacing w:after="0" w:line="240" w:lineRule="auto"/>
      <w:ind w:hanging="360"/>
      <w:jc w:val="both"/>
    </w:pPr>
    <w:rPr>
      <w:rFonts w:ascii="Calibri" w:hAnsi="Calibri" w:cs="Calibri"/>
      <w:bCs/>
      <w:szCs w:val="20"/>
      <w:lang w:val="x-none"/>
    </w:rPr>
  </w:style>
  <w:style w:type="character" w:customStyle="1" w:styleId="U-puce-2Car">
    <w:name w:val="U-puce-2 Car"/>
    <w:basedOn w:val="Retraitcorpsdetexte2Car"/>
    <w:link w:val="U-puce-2"/>
    <w:rsid w:val="003715B0"/>
    <w:rPr>
      <w:rFonts w:ascii="Calibri" w:eastAsia="Times New Roman" w:hAnsi="Calibri" w:cs="Calibri"/>
      <w:bCs/>
      <w:szCs w:val="20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A006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A006C"/>
  </w:style>
  <w:style w:type="paragraph" w:customStyle="1" w:styleId="U-puce-3">
    <w:name w:val="U-puce-3"/>
    <w:basedOn w:val="Normal"/>
    <w:link w:val="U-puce-3Car"/>
    <w:qFormat/>
    <w:rsid w:val="00BA006C"/>
    <w:pPr>
      <w:numPr>
        <w:ilvl w:val="2"/>
        <w:numId w:val="7"/>
      </w:numPr>
      <w:jc w:val="both"/>
    </w:pPr>
    <w:rPr>
      <w:rFonts w:ascii="Calibri" w:hAnsi="Calibri" w:cs="Calibri"/>
      <w:lang w:eastAsia="fr-BE"/>
    </w:rPr>
  </w:style>
  <w:style w:type="character" w:customStyle="1" w:styleId="U-puce-3Car">
    <w:name w:val="U-puce-3 Car"/>
    <w:basedOn w:val="Policepardfaut"/>
    <w:link w:val="U-puce-3"/>
    <w:rsid w:val="00BA006C"/>
    <w:rPr>
      <w:rFonts w:ascii="Calibri" w:eastAsia="Times New Roman" w:hAnsi="Calibri" w:cs="Calibri"/>
      <w:lang w:eastAsia="fr-BE"/>
    </w:rPr>
  </w:style>
  <w:style w:type="paragraph" w:customStyle="1" w:styleId="U-puce-1">
    <w:name w:val="U-puce-1"/>
    <w:basedOn w:val="Normal"/>
    <w:link w:val="U-puce-1Car"/>
    <w:qFormat/>
    <w:rsid w:val="003715B0"/>
    <w:pPr>
      <w:ind w:left="284" w:hanging="284"/>
      <w:jc w:val="both"/>
    </w:pPr>
    <w:rPr>
      <w:rFonts w:ascii="Calibri" w:hAnsi="Calibri" w:cs="Calibri"/>
      <w:szCs w:val="22"/>
      <w:lang w:val="fr-BE"/>
    </w:rPr>
  </w:style>
  <w:style w:type="character" w:customStyle="1" w:styleId="U-puce-1Car">
    <w:name w:val="U-puce-1 Car"/>
    <w:basedOn w:val="Policepardfaut"/>
    <w:link w:val="U-puce-1"/>
    <w:rsid w:val="003715B0"/>
    <w:rPr>
      <w:rFonts w:ascii="Calibri" w:eastAsia="Times New Roman" w:hAnsi="Calibri" w:cs="Calibri"/>
      <w:lang w:eastAsia="fr-FR"/>
    </w:rPr>
  </w:style>
  <w:style w:type="paragraph" w:customStyle="1" w:styleId="puce2">
    <w:name w:val="puce2"/>
    <w:basedOn w:val="U-puce-1"/>
    <w:link w:val="puce2Car"/>
    <w:autoRedefine/>
    <w:qFormat/>
    <w:rsid w:val="003715B0"/>
    <w:pPr>
      <w:tabs>
        <w:tab w:val="num" w:pos="1440"/>
      </w:tabs>
      <w:ind w:left="1440" w:hanging="360"/>
    </w:pPr>
  </w:style>
  <w:style w:type="character" w:customStyle="1" w:styleId="puce2Car">
    <w:name w:val="puce2 Car"/>
    <w:basedOn w:val="U-puce-1Car"/>
    <w:link w:val="puce2"/>
    <w:rsid w:val="003715B0"/>
    <w:rPr>
      <w:rFonts w:ascii="Calibri" w:eastAsia="Times New Roman" w:hAnsi="Calibri" w:cs="Calibri"/>
      <w:lang w:eastAsia="fr-FR"/>
    </w:rPr>
  </w:style>
  <w:style w:type="table" w:styleId="Grilledutableau">
    <w:name w:val="Table Grid"/>
    <w:basedOn w:val="TableauNormal"/>
    <w:uiPriority w:val="39"/>
    <w:rsid w:val="0000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70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60D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A0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7D8"/>
    <w:rPr>
      <w:rFonts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A0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7D8"/>
    <w:rPr>
      <w:rFonts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.deposit@uccle.bruss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AC_Uccle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SCHRAGER</dc:creator>
  <cp:keywords/>
  <dc:description/>
  <cp:lastModifiedBy>Noémie SCHRAGER</cp:lastModifiedBy>
  <cp:revision>11</cp:revision>
  <dcterms:created xsi:type="dcterms:W3CDTF">2019-10-15T14:05:00Z</dcterms:created>
  <dcterms:modified xsi:type="dcterms:W3CDTF">2019-10-31T12:28:00Z</dcterms:modified>
</cp:coreProperties>
</file>